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360" w:before="0" w:after="0"/>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360" w:before="0" w:after="0"/>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360" w:before="0" w:after="0"/>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360" w:before="0" w:after="0"/>
        <w:jc w:val="center"/>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Всероссийский школьный конкурс по статистике «Тренд»</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Номинация 1: «Учимся собирать статистические данные»</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Тема: «Лексико - семантический анализ слова «ядро» (на материале Основного подкорпуса Национального корпуса русского языка)»</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Выполнили ученики 10 класса</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Самарцев Савелий</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Татаринов Лев</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Черных Виталий</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Учитель - Лажинцева Елена Анатольевна</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КОГОАУ «Кировский физико-математический лицей»</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г. Киров Кировской области</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2025-2026</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Аннотация</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Цель проекта – выяснить, как с развитием науки и техники изменилось лексическое значение слова «ядро», </w:t>
      </w:r>
      <w:bookmarkStart w:id="0" w:name="_Hlk218791514"/>
      <w:r>
        <w:rPr>
          <w:rFonts w:cs="Times New Roman" w:ascii="Times New Roman" w:hAnsi="Times New Roman"/>
          <w:sz w:val="24"/>
          <w:szCs w:val="24"/>
        </w:rPr>
        <w:t>когда оно стало термином и приобрело новые лексические значения, как изменилась частота его употребления в письменной речи.</w:t>
      </w:r>
      <w:bookmarkEnd w:id="0"/>
      <w:r>
        <w:rPr>
          <w:rFonts w:cs="Times New Roman" w:ascii="Times New Roman" w:hAnsi="Times New Roman"/>
          <w:sz w:val="24"/>
          <w:szCs w:val="24"/>
        </w:rPr>
        <w:t xml:space="preserve"> Исследование осуществлялось на основе данных Основного подкорпуса Национального корпуса русского языка. Для достижения цели и подтверждения гипотезы анализировались следующие разделы подкорпуса: конкорданс (в том числе KWIC), график частотности словоупотреблений, статистика, частотность, </w:t>
      </w:r>
      <w:r>
        <w:rPr>
          <w:rFonts w:cs="Times New Roman" w:ascii="Times New Roman" w:hAnsi="Times New Roman"/>
          <w:sz w:val="24"/>
          <w:szCs w:val="24"/>
          <w:lang w:val="en-US"/>
        </w:rPr>
        <w:t>n</w:t>
      </w:r>
      <w:r>
        <w:rPr>
          <w:rFonts w:cs="Times New Roman" w:ascii="Times New Roman" w:hAnsi="Times New Roman"/>
          <w:sz w:val="24"/>
          <w:szCs w:val="24"/>
        </w:rPr>
        <w:t xml:space="preserve">-граммы. </w:t>
      </w:r>
      <w:bookmarkStart w:id="1" w:name="_Hlk218804837"/>
      <w:r>
        <w:rPr>
          <w:rFonts w:cs="Times New Roman" w:ascii="Times New Roman" w:hAnsi="Times New Roman"/>
          <w:sz w:val="24"/>
          <w:szCs w:val="24"/>
        </w:rPr>
        <w:t xml:space="preserve">С их помощью сопоставлялась частотность словоупотреблений, лексические значения слов, время их появления в языке и их лексическая сочетаемость. </w:t>
      </w:r>
      <w:bookmarkEnd w:id="1"/>
      <w:r>
        <w:rPr>
          <w:rFonts w:cs="Times New Roman" w:ascii="Times New Roman" w:hAnsi="Times New Roman"/>
          <w:sz w:val="24"/>
          <w:szCs w:val="24"/>
        </w:rPr>
        <w:t xml:space="preserve">Полученные данные сопоставлялись с историческими фактами, датами научных открытий и появления технических устройств. В результате было установлено: </w:t>
      </w:r>
      <w:r>
        <w:rPr>
          <w:rFonts w:cs="Times New Roman" w:ascii="Times New Roman" w:hAnsi="Times New Roman"/>
          <w:sz w:val="24"/>
          <w:szCs w:val="24"/>
          <w:shd w:fill="auto" w:val="clear"/>
          <w14:ligatures w14:val="standardContextual"/>
        </w:rPr>
        <w:t>слово «ядро» приобрело новые терминологические значения, определяемые научно-техническим прогрессом. Возросла его частотность и семантическая сочетаемость, причём возникли не только свободные, но и устойчивые выражения, получившие статус термина.</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Введение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Язык – зеркало окружающего мира и человеческого сознания. В нём отражаются все изменения, происходящие в обществе. Эти изменения влекут за собой трансформацию языковых единиц.</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Язык является главным средством познания мира благодаря тому, что человечество располагает языком для закрепления общественного опыта, оно может передавать от поколения к поколению самые сложные достижения познания. Чем дальше, тем больше этих элементов познания, общественной практики оказывается в распоряжении человечества. Поэтому словарный состав языка постоянно изменяется. Меняться могут не только внешний облик слова и его звучание, но и смысловое наполнение.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Изучением смыслового значения единиц языка занимается семантика, изучающая функционирование и эволюцию слова, пути возникновения у него новых значений. Одной из основных задач семантики является выяснение причин появления данных значений и взаимодействия слов друг с другом. Нередко причины определяются социальной природой языка, так как они связаны с развитием человеческого разума и соответствуют его потребностям.</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Понятийный фонд языка семантика разделяет на общее достояние всех членов общества (обиходные понятия) и достояние науки (научные понятия, термины). </w:t>
      </w:r>
      <w:bookmarkStart w:id="2" w:name="_Hlk218887368"/>
      <w:r>
        <w:rPr>
          <w:rFonts w:cs="Times New Roman" w:ascii="Times New Roman" w:hAnsi="Times New Roman"/>
          <w:sz w:val="24"/>
          <w:szCs w:val="24"/>
        </w:rPr>
        <w:t>Одной из общих семантических закономерностей является то, что значения обиходных слов, имеющие общие признаки с научными понятиями, стремятся слиться с ними как со своим содержательным пределом.</w:t>
      </w:r>
      <w:bookmarkEnd w:id="2"/>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Важнейшим объектом семантики является многозначное слово. Оно предстаёт как совокупность лексико – семантических вариантов, которые связаны как отдельные словарные значения.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Отследить и систематизировать процессы изменений в языке, появление новых элементов и значений можно с помощью Национального корпуса русского языка (НКРЯ) — уникальной справочно — информационной системы, разработанной РАН с участием компании «Яндекс». В Корпусе реализована система поиска по лексико-семантическим признакам. Разметка текстов осуществляется автоматически с помощью программы Semmarkup (автор А. Е. Поляков) в соответствии с Семантическим словарём Корпуса. НКРЯ позволяет узнать лексическое значение слова, дату появления слова в языке, тексты, в которых оно встречается, проследить частотность его употребления по годам в письменной и устной, в том числе разговорной речи. Наиболее широкой системой возможностей для поиска обладает Основной подкорпус НКРЯ.</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Исходя из вышесказанного, интересным может стать лексико-семантический анализ многозначного слова, обиходные значения которого имеют общие признаки с научными понятиями, и выявить причины их появления и взаимодействия друг с другом с использованием Основного подкорпуса Национального корпуса русского языка. Пусть таким словом будет слово «ядро».</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Тема работы: «Лексико-семантический анализ слова «ядро» (на материале Основного подкорпуса Национального корпуса русского языка)».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Цель работы: выяснить, как с развитием науки и техники изменилось лексическое значение слова «ядро», когда появились производные значения (термины), как изменились частота употребления слова в письменной речи и его лексическая сочетаемость. </w:t>
      </w:r>
    </w:p>
    <w:p>
      <w:pPr>
        <w:pStyle w:val="Normal"/>
        <w:spacing w:lineRule="auto" w:line="360" w:before="0" w:after="0"/>
        <w:ind w:firstLine="360"/>
        <w:rPr>
          <w:rFonts w:ascii="Times New Roman" w:hAnsi="Times New Roman" w:cs="Times New Roman"/>
          <w:sz w:val="24"/>
          <w:szCs w:val="24"/>
        </w:rPr>
      </w:pPr>
      <w:r>
        <w:rPr>
          <w:rFonts w:cs="Times New Roman" w:ascii="Times New Roman" w:hAnsi="Times New Roman"/>
          <w:sz w:val="24"/>
          <w:szCs w:val="24"/>
        </w:rPr>
        <w:t>Задачи:</w:t>
      </w:r>
    </w:p>
    <w:p>
      <w:pPr>
        <w:pStyle w:val="Normal"/>
        <w:numPr>
          <w:ilvl w:val="0"/>
          <w:numId w:val="1"/>
        </w:numPr>
        <w:spacing w:lineRule="auto" w:line="360" w:before="0" w:after="0"/>
        <w:ind w:hanging="360" w:left="0"/>
        <w:jc w:val="both"/>
        <w:rPr>
          <w:rFonts w:ascii="Times New Roman" w:hAnsi="Times New Roman" w:cs="Times New Roman"/>
          <w:sz w:val="24"/>
          <w:szCs w:val="24"/>
        </w:rPr>
      </w:pPr>
      <w:r>
        <w:rPr>
          <w:rFonts w:cs="Times New Roman" w:ascii="Times New Roman" w:hAnsi="Times New Roman"/>
          <w:sz w:val="24"/>
          <w:szCs w:val="24"/>
        </w:rPr>
        <w:t>Ознакомиться с функционалом национального корпуса русского языка (НКРЯ).</w:t>
      </w:r>
    </w:p>
    <w:p>
      <w:pPr>
        <w:pStyle w:val="Normal"/>
        <w:numPr>
          <w:ilvl w:val="0"/>
          <w:numId w:val="1"/>
        </w:numPr>
        <w:spacing w:lineRule="auto" w:line="360" w:before="0" w:after="0"/>
        <w:ind w:hanging="360" w:left="0"/>
        <w:jc w:val="both"/>
        <w:rPr>
          <w:rFonts w:ascii="Times New Roman" w:hAnsi="Times New Roman" w:cs="Times New Roman"/>
          <w:sz w:val="24"/>
          <w:szCs w:val="24"/>
        </w:rPr>
      </w:pPr>
      <w:r>
        <w:rPr>
          <w:rFonts w:cs="Times New Roman" w:ascii="Times New Roman" w:hAnsi="Times New Roman"/>
          <w:sz w:val="24"/>
          <w:szCs w:val="24"/>
        </w:rPr>
        <w:t>Прочитать информацию о слове «ядро» в национальном корпусе, включая Портрет слова, частотность.</w:t>
      </w:r>
    </w:p>
    <w:p>
      <w:pPr>
        <w:pStyle w:val="Normal"/>
        <w:numPr>
          <w:ilvl w:val="0"/>
          <w:numId w:val="1"/>
        </w:numPr>
        <w:spacing w:lineRule="auto" w:line="360" w:before="0" w:after="0"/>
        <w:ind w:hanging="360" w:left="0"/>
        <w:jc w:val="both"/>
        <w:rPr>
          <w:rFonts w:ascii="Times New Roman" w:hAnsi="Times New Roman" w:cs="Times New Roman"/>
          <w:sz w:val="24"/>
          <w:szCs w:val="24"/>
        </w:rPr>
      </w:pPr>
      <w:r>
        <w:rPr>
          <w:rFonts w:cs="Times New Roman" w:ascii="Times New Roman" w:hAnsi="Times New Roman"/>
          <w:sz w:val="24"/>
          <w:szCs w:val="24"/>
        </w:rPr>
        <w:t>Исходя из полученной информации, выдвинуть гипотезу о семантике слова «ядро» в русском языке.</w:t>
      </w:r>
    </w:p>
    <w:p>
      <w:pPr>
        <w:pStyle w:val="Normal"/>
        <w:numPr>
          <w:ilvl w:val="0"/>
          <w:numId w:val="1"/>
        </w:numPr>
        <w:spacing w:lineRule="auto" w:line="360" w:before="0" w:after="0"/>
        <w:ind w:hanging="360" w:left="0"/>
        <w:jc w:val="both"/>
        <w:rPr>
          <w:rFonts w:ascii="Times New Roman" w:hAnsi="Times New Roman" w:cs="Times New Roman"/>
          <w:sz w:val="24"/>
          <w:szCs w:val="24"/>
        </w:rPr>
      </w:pPr>
      <w:r>
        <w:rPr>
          <w:rFonts w:cs="Times New Roman" w:ascii="Times New Roman" w:hAnsi="Times New Roman"/>
          <w:sz w:val="24"/>
          <w:szCs w:val="24"/>
        </w:rPr>
        <w:t>Найти факты, с помощью которых можно будет подтвердить гипотезу или опровергнуть ее.</w:t>
      </w:r>
    </w:p>
    <w:p>
      <w:pPr>
        <w:pStyle w:val="Normal"/>
        <w:numPr>
          <w:ilvl w:val="0"/>
          <w:numId w:val="1"/>
        </w:numPr>
        <w:spacing w:lineRule="auto" w:line="360" w:before="0" w:after="0"/>
        <w:ind w:hanging="360" w:left="0"/>
        <w:jc w:val="both"/>
        <w:rPr>
          <w:rFonts w:ascii="Times New Roman" w:hAnsi="Times New Roman" w:cs="Times New Roman"/>
          <w:sz w:val="24"/>
          <w:szCs w:val="24"/>
        </w:rPr>
      </w:pPr>
      <w:r>
        <w:rPr>
          <w:rFonts w:cs="Times New Roman" w:ascii="Times New Roman" w:hAnsi="Times New Roman"/>
          <w:sz w:val="24"/>
          <w:szCs w:val="24"/>
        </w:rPr>
        <w:t>Визуализировать данные (составить таблицы, графики) с помощью корпуса.</w:t>
      </w:r>
    </w:p>
    <w:p>
      <w:pPr>
        <w:pStyle w:val="Normal"/>
        <w:numPr>
          <w:ilvl w:val="0"/>
          <w:numId w:val="1"/>
        </w:numPr>
        <w:spacing w:lineRule="auto" w:line="360" w:before="0" w:after="0"/>
        <w:ind w:hanging="360" w:left="0"/>
        <w:jc w:val="both"/>
        <w:rPr>
          <w:rFonts w:ascii="Times New Roman" w:hAnsi="Times New Roman" w:cs="Times New Roman"/>
          <w:sz w:val="24"/>
          <w:szCs w:val="24"/>
        </w:rPr>
      </w:pPr>
      <w:r>
        <w:rPr>
          <w:rFonts w:cs="Times New Roman" w:ascii="Times New Roman" w:hAnsi="Times New Roman"/>
          <w:sz w:val="24"/>
          <w:szCs w:val="24"/>
        </w:rPr>
        <w:t>Проанализировать данные и результаты, сделать выводы.</w:t>
      </w:r>
    </w:p>
    <w:p>
      <w:pPr>
        <w:pStyle w:val="Normal"/>
        <w:numPr>
          <w:ilvl w:val="0"/>
          <w:numId w:val="1"/>
        </w:numPr>
        <w:spacing w:lineRule="auto" w:line="360" w:before="0" w:after="0"/>
        <w:ind w:hanging="360" w:left="0"/>
        <w:jc w:val="both"/>
        <w:rPr>
          <w:rFonts w:ascii="Times New Roman" w:hAnsi="Times New Roman" w:cs="Times New Roman"/>
          <w:sz w:val="24"/>
          <w:szCs w:val="24"/>
        </w:rPr>
      </w:pPr>
      <w:r>
        <w:rPr>
          <w:rFonts w:cs="Times New Roman" w:ascii="Times New Roman" w:hAnsi="Times New Roman"/>
          <w:sz w:val="24"/>
          <w:szCs w:val="24"/>
        </w:rPr>
        <w:t>Оформить конкурсную работу.</w:t>
      </w:r>
    </w:p>
    <w:p>
      <w:pPr>
        <w:pStyle w:val="Normal"/>
        <w:numPr>
          <w:ilvl w:val="0"/>
          <w:numId w:val="1"/>
        </w:numPr>
        <w:spacing w:lineRule="auto" w:line="360" w:before="0" w:after="0"/>
        <w:ind w:hanging="360" w:left="0"/>
        <w:jc w:val="both"/>
        <w:rPr>
          <w:rFonts w:ascii="Times New Roman" w:hAnsi="Times New Roman" w:cs="Times New Roman"/>
          <w:sz w:val="24"/>
          <w:szCs w:val="24"/>
        </w:rPr>
      </w:pPr>
      <w:r>
        <w:rPr>
          <w:rFonts w:cs="Times New Roman" w:ascii="Times New Roman" w:hAnsi="Times New Roman"/>
          <w:sz w:val="24"/>
          <w:szCs w:val="24"/>
        </w:rPr>
        <w:t>Сдать работу на конкурс.</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Гипотеза: с развитием науки и техники слово «ядро» более активно включается в язык, возрастает количество его значений, расширяются возможные сочетания его с другими словами.</w:t>
      </w:r>
    </w:p>
    <w:p>
      <w:pPr>
        <w:pStyle w:val="Normal"/>
        <w:spacing w:lineRule="auto" w:line="360" w:before="0" w:after="0"/>
        <w:ind w:firstLine="709"/>
        <w:jc w:val="center"/>
        <w:rPr>
          <w:rFonts w:ascii="Times New Roman" w:hAnsi="Times New Roman" w:cs="Times New Roman"/>
          <w:sz w:val="24"/>
          <w:szCs w:val="24"/>
        </w:rPr>
      </w:pPr>
      <w:r>
        <w:rPr>
          <w:rFonts w:cs="Times New Roman" w:ascii="Times New Roman" w:hAnsi="Times New Roman"/>
          <w:sz w:val="24"/>
          <w:szCs w:val="24"/>
        </w:rPr>
        <w:t>Часть 1. Теоретическая</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Портрет слова «ядро»</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Потрет слова «ядро» присутствует практически во всех подкорпусах НКРЯ. Обратимся к Основному подкорпусу, так как он содержит наиболее полные данные о слове, и выполним лексико-семантический анализ данной лексемы.</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Слово «ядро» является многозначным. У него выделяется двенадцать значений, из них девять представляют собой термины. Например, в ботанике «ядро» - это внутренняя часть плода, семени, заключенная в твердую оболочку, в общей биологии - органелла клетки, в которой содержится генетическая информация в форме ДНК, в компьютерных науках - основная программа операционной системы компьютера, в физике - центральная положительно заряженная часть атома, в астрономии — центральная часть астрономических объектов, в алгебре — функция или множество, определяющее некоторое преобразование. Одно значение связано с историей военного дела (вид снаряда в артиллерии).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Частотность слова скорее высокая. По статистике 80,05% словоупотреблений встречается в научных текстах и 19,95% в художественной литературе. К ближайшим семантическим ассоциатам НКРЯ относит слова «снаряд», «частица», «атом», «протон», «заряд», «электрон», «нейтрон», «нуклон», «цитоплазма», «альфа – частица». Распределив ассоциаты по тематическим группам, получим следующие: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Военное дело (артиллерия) – «снаряд», «заряд»</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Физика, астрономия – «частица», «альфа-частица», «электрон», «атом», «протон», «нейтрон», «нуклон», «заряд».</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Биология – «цитоплазма».</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Среди коллокаций наиболее частотными (5 из 10 предложенных) являются сочетания с прилагательными «атомный» (10,3), «пушечный» (9,52), «клеточный» (9,2), «галактический» (7,97), «чугунный» (7,94); с глаголами (с прямым дополнением) «образовывать» (6,77), «составлять» (6,7), «образовать» (6,56), «расщепить» (6,4), «сформировать» (6,19), с сочинёнными существительными «картечь» (10,41), «электрон» (9,88), «пуля» (9,59), «цитоплазма» (9,4), «ядро» (9,35). Также распределим коллокации по тематическим группам (где это возможно):</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Военное дело (артиллерия) – «пушечный», «чугунный», «картечь», «пуля» (37,46 в сумме).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Физика – «атомный», «расщепить», «электрон», «сформировать» (32,77 в сумме).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Биология – «цитоплазма», «клеточный», «сформировать» (24,79 в сумме).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Астрономия – «галактический», «сформировать» (14,16 в сумме)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Данное наблюдение позволяет отметить, что наиболее часто слово «ядро» в Основном подкорпусе НКРЯ употребляется в значениях: «центральная положительно заряженная часть атома» (физика), «снаряд в виде металлического или каменного шара, предназначенный для выстреливания из пушки» (военное дело – артиллерия), «органелла клетки, содержащая генетическую информацию в форме молекул ДНК» (биология), «центральная часть планеты, звезды» (астрономия). Значит, данное слово напрямую связано с развитием научной и технической мысли и является термином.</w:t>
      </w:r>
    </w:p>
    <w:p>
      <w:pPr>
        <w:pStyle w:val="Normal"/>
        <w:spacing w:lineRule="auto" w:line="360" w:before="0" w:after="0"/>
        <w:ind w:firstLine="709"/>
        <w:jc w:val="center"/>
        <w:rPr>
          <w:rFonts w:ascii="Times New Roman" w:hAnsi="Times New Roman" w:cs="Times New Roman"/>
          <w:sz w:val="24"/>
          <w:szCs w:val="24"/>
        </w:rPr>
      </w:pPr>
      <w:r>
        <w:rPr>
          <w:rFonts w:cs="Times New Roman" w:ascii="Times New Roman" w:hAnsi="Times New Roman"/>
          <w:sz w:val="24"/>
          <w:szCs w:val="24"/>
        </w:rPr>
        <w:t>Появления термина «ядро» НКРЯ</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Первые упоминания слова «ядро» находится в Древнерусском подкорпусе НКРЯ и относятся к 1030-1118 годам (Повесть временных лет по Ипатьевскому списку): «…ѡ[ц]ьскы(х) </w:t>
      </w:r>
      <w:r>
        <w:rPr>
          <w:rFonts w:cs="Segoe UI" w:ascii="Segoe UI" w:hAnsi="Segoe UI"/>
          <w:sz w:val="24"/>
          <w:szCs w:val="24"/>
        </w:rPr>
        <w:t>ꙗ</w:t>
      </w:r>
      <w:r>
        <w:rPr>
          <w:rFonts w:cs="Times New Roman" w:ascii="Times New Roman" w:hAnsi="Times New Roman"/>
          <w:sz w:val="24"/>
          <w:szCs w:val="24"/>
        </w:rPr>
        <w:t>д[р]ъ. иже не ѿступи сше(д)» - в значении «суть», «основание», «самое главное», а также к 1037 – 1050 годам («Слово о законе и благодати» митрополита Илариона) в значении «плод злакового растения, зерновка». В оригинале: «…</w:t>
      </w:r>
      <w:r>
        <w:rPr>
          <w:rFonts w:cs="Segoe UI" w:ascii="Segoe UI" w:hAnsi="Segoe UI"/>
          <w:sz w:val="24"/>
          <w:szCs w:val="24"/>
        </w:rPr>
        <w:t>ꙗ</w:t>
      </w:r>
      <w:r>
        <w:rPr>
          <w:rFonts w:cs="Times New Roman" w:ascii="Times New Roman" w:hAnsi="Times New Roman"/>
          <w:sz w:val="24"/>
          <w:szCs w:val="24"/>
        </w:rPr>
        <w:t xml:space="preserve">коже </w:t>
      </w:r>
      <w:r>
        <w:rPr>
          <w:rFonts w:cs="Segoe UI" w:ascii="Segoe UI" w:hAnsi="Segoe UI"/>
          <w:sz w:val="24"/>
          <w:szCs w:val="24"/>
        </w:rPr>
        <w:t>ꙗ</w:t>
      </w:r>
      <w:r>
        <w:rPr>
          <w:rFonts w:cs="Times New Roman" w:ascii="Times New Roman" w:hAnsi="Times New Roman"/>
          <w:sz w:val="24"/>
          <w:szCs w:val="24"/>
        </w:rPr>
        <w:t>дро пшенично съхранивъ тѣло свое…», что в переводе на современный язык означает «…как ядро пшеничное, сохранив тело свое…». Данные значения («суть», «самое главное» и «плод злакового растения») будем считать прямыми, основными. Это подтверждают и словарная статья из этимологического словаря. Слово «ядро» по происхождению славянское - ѩдро «плод», «сердцевина», «внутренняя часть чего-либо». Данные понятия относятся к обиходным.</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В Основном подкорпусе НКРЯ слова в первом из данных значений («суть», «самое главное») не представлены (поэтому отнесём его к устаревшим), во втором представлены в незначительном количестве. Значит, вторичные, производные значения в современном языке вытеснили первичные. На основании семантической закономерности можно утверждать, что данные термины будут иметь общие признаки с обиходными значениями слова «ядро» и отражать их смысл:</w:t>
      </w:r>
    </w:p>
    <w:p>
      <w:pPr>
        <w:pStyle w:val="ListParagraph"/>
        <w:numPr>
          <w:ilvl w:val="0"/>
          <w:numId w:val="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«ядро» как внутренняя часть плода и «ядро» как внутренняя часть астрономического объекта, клетки, атома;</w:t>
      </w:r>
    </w:p>
    <w:p>
      <w:pPr>
        <w:pStyle w:val="ListParagraph"/>
        <w:numPr>
          <w:ilvl w:val="0"/>
          <w:numId w:val="2"/>
        </w:numPr>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«ядро» как «суть, сердцевина» (в переносном значении) и «ядро» как главная органелла клетки, главная программа компьютера.</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Данные значения научных понятий становятся содержательным пределом смысла обиходных слов. Обратившись к истории развития научного знания, определим время появления указанных выше терминов. </w:t>
      </w:r>
    </w:p>
    <w:p>
      <w:pPr>
        <w:pStyle w:val="Normal"/>
        <w:spacing w:lineRule="auto" w:line="360" w:before="0" w:after="0"/>
        <w:ind w:firstLine="709"/>
        <w:jc w:val="center"/>
        <w:rPr>
          <w:rFonts w:ascii="Times New Roman" w:hAnsi="Times New Roman" w:cs="Times New Roman"/>
          <w:sz w:val="24"/>
          <w:szCs w:val="24"/>
        </w:rPr>
      </w:pPr>
      <w:r>
        <w:rPr>
          <w:rFonts w:cs="Times New Roman" w:ascii="Times New Roman" w:hAnsi="Times New Roman"/>
          <w:sz w:val="24"/>
          <w:szCs w:val="24"/>
        </w:rPr>
        <w:t>Ядро как «снаряд, предназначенный для выстреливания из пушки»</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На Руси огнестрельное оружие появилось к середине XIV века. В летописях, описывающих осаду Москвы Тохтамышем в 1382 г., сообщается о том, что москвичи употребляли при обороне тюфяки, пороки и пушки. Слово «пушка» говорит, несомненно, о применении на Руси уже тогда огнестрельного оружия.  В качестве снарядов использовались каменные, а позднее свинцовые и железные ядра. В гладкоствольной артиллерии принято считать, что сферическая форма пушечного ядра позволяет получить максимальную дальность и точность стрельбы.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1470 году пушечные ядра начали отливать из чугуна, и чугунные ядра постепенно вытеснили снаряды, изготовленные из других материалов. Со времени Ливонской войны (1558-1583 г.г.) русские стали употреблять употребляли каленые ядра (чугунный снаряд, нагретый в специальной печи). Кроме каленых ядер, поджигали города с помощью огненных ядер (каменное ядро облеплялось горючим составом). Орудия для навесного боя – «верховые» пушки стреляли каменными ядрами, иногда огненными, чтобы перебросить их за городскую стену и произвести пожар в городе. Количество каменных ядер постепенно уменьшалось, хотя они выходят из употребления лишь в первой половине XVII в. Вплоть до середины XIX века чугунные ядра оставались на вооружении без значительных изменений.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Со временем потребовались новые артиллерийские орудия и снаряды к ним. В 1872-1877 годах офицер – артиллерист русской армии Владимир Степанович Барановский создал пушку, которую нужно было заряжать патроном, состоящим из гильзы и снаряда. Началась эпоха нарезных орудий, и ядро как вид артиллерийского снаряда уходит в прошлое.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Так, определим вероятную нижнюю границу вхождения в подкорпус слова «ядро» в значении «снаряд, предназначенный для выстреливания из пушки», - 1382 год.</w:t>
      </w:r>
    </w:p>
    <w:p>
      <w:pPr>
        <w:pStyle w:val="Normal"/>
        <w:spacing w:lineRule="auto" w:line="360" w:before="0" w:after="0"/>
        <w:ind w:firstLine="709"/>
        <w:jc w:val="center"/>
        <w:rPr>
          <w:rFonts w:ascii="Times New Roman" w:hAnsi="Times New Roman" w:cs="Times New Roman"/>
          <w:sz w:val="24"/>
          <w:szCs w:val="24"/>
        </w:rPr>
      </w:pPr>
      <w:r>
        <w:rPr>
          <w:rFonts w:cs="Times New Roman" w:ascii="Times New Roman" w:hAnsi="Times New Roman"/>
          <w:sz w:val="24"/>
          <w:szCs w:val="24"/>
        </w:rPr>
        <w:t>Ядро как «центральная часть астрономических объектов»</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Первым предположение о существовании ядра Земли высказал Р. Декарт в работе «Начала философии» (1644 год). Он утверждал, что Солнце и звёзды состоят из текучего вещества, соответствующего пламени. Земля также сначала была огненным телом, при охлаждении которого на поверхности скопились частицы плотной материи. Так, внутри Земли находится огненное ядро, окружённое плотной внутренней оболочкой. Позднее, в 1777 году, на собрании Академии наук П. Лаплас произнёс речь «Наблюдения над образованием гор», опубликованную в том же году. Учёный подтвердил теорию о наличии в центре Земли ядра, но, по мнению Лапласа, это ядро состоит из гранита. Но наибольшее признание получили работы геофизика Э. Вихерта, окончательно обосновавшего существование ядра Земли в 1897 году.</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Глубоким изучением ядра комет занимался российский астроном Ф.А. Бредихин. В работе «Излияние вещества из ядра большой кометы 1862 г.» (1864) учёный развил теорию образования метеоритных потоков в результате распада ядер комет. В 1920-х годах Артуром Эддингтоном была выдвинута гипотеза о том, что в ядре Солнца происходит ядерный синтез, который является источником энергии для звёзд; позднее гипотеза была подтверждена. В 1948 году советские астрономы В.Б. Никонов, В.И. Красовский и А.А. Калиняк сфотографировали ядро Галактики. Результаты исследования учёные опубликовали в 1949 году в статье «Наблюдение области галактического центра в инфракрасных лучах».</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Таким образом, открытие ядра астрономических объектов изменило представление человечества о Земле и Галактике в целом. Нижней границей вхождения термина «ядро» как «центральной части астрономического объекта» будем считать 1644 год.</w:t>
      </w:r>
    </w:p>
    <w:p>
      <w:pPr>
        <w:pStyle w:val="Normal"/>
        <w:spacing w:lineRule="auto" w:line="360" w:before="0" w:after="0"/>
        <w:ind w:firstLine="709"/>
        <w:jc w:val="center"/>
        <w:rPr>
          <w:rFonts w:ascii="Times New Roman" w:hAnsi="Times New Roman" w:cs="Times New Roman"/>
          <w:sz w:val="24"/>
          <w:szCs w:val="24"/>
        </w:rPr>
      </w:pPr>
      <w:r>
        <w:rPr>
          <w:rFonts w:cs="Times New Roman" w:ascii="Times New Roman" w:hAnsi="Times New Roman"/>
          <w:sz w:val="24"/>
          <w:szCs w:val="24"/>
        </w:rPr>
        <w:t>Ядро как «органелла клетки, содержащая генетическую информацию в форме молекул ДНК»</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Ядро в клетке было открыто в 1831-1833 годах Р. Броуном. Он настаивал на том, что ядро есть во всех живых клетках. Но роль ядра клетки определил М. Шлейден. Он впервые связал появление клетки с её ядром. В 1838 году в работе «Вклад в наши знания о фитогенезе» он описал процесс деления клетки: вначале образуется маленький сгусток – ядро, которое затем покрывается студенистой массой (цитоплазмой) и оболочкой.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Современный взгляд на клетку сформировался в конце XIX века. Ж.Б. Карнул уподобил клетку сложному организму. Его научный труд «Биология клетки» (1884 г.) не только рисует точное строение клетки, но и определяет основные направления её изучения. Так возникает цитология – наука о клетке.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Первым теорию о наличии в составе ядра клетки хромосом высказал А. Шнейдер в работе «Изучение плоских червей» (1873 год). Однако работа не привлекла внимания научного сообщества, так как была опубликована в малоизвестном журнале. И только монография В. Флемминга «Клеточная субстанция, ядро и клеточное деление» (1882 год) привела в систему все знания о ядре и его делении. Работа учёного была замечена и определила современные представления о клетке и её ядре.</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Таким образом, история знания о ядре клетки берёт своё начало с 1831 года. С данной датой свяжем и появление термина «ядро» как «органелла клетки».</w:t>
      </w:r>
    </w:p>
    <w:p>
      <w:pPr>
        <w:pStyle w:val="Normal"/>
        <w:spacing w:lineRule="auto" w:line="360" w:before="0" w:after="0"/>
        <w:ind w:firstLine="709"/>
        <w:jc w:val="center"/>
        <w:rPr>
          <w:rFonts w:ascii="Times New Roman" w:hAnsi="Times New Roman" w:cs="Times New Roman"/>
          <w:sz w:val="24"/>
          <w:szCs w:val="24"/>
        </w:rPr>
      </w:pPr>
      <w:r>
        <w:rPr>
          <w:rFonts w:cs="Times New Roman" w:ascii="Times New Roman" w:hAnsi="Times New Roman"/>
          <w:sz w:val="24"/>
          <w:szCs w:val="24"/>
        </w:rPr>
        <w:t>Ядро как «центральная положительно заряженная часть атома»</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Разделом физики, изучающим строение, свойства и превращения ядер атомов, является ядерная физика. В 1900 году Мария и Пьер Кюри выдвинули теорию радиоактивности, заключающуюся в том, что атом является делимым. Одним из важнейших открытий стало создание ядерной теории атома, которую разработал Резерфорд в 1911 году и которая коренным образом изменила современную физику. Согласно этой теории, в центре атома находилось положительно заряженное ядро, а на расстоянии от него располагались частицы противоположного заряда – электроны.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С открытием атома связано создание самого мощного в истории человечества ядерного оружия. 6 и 9 августа 1945 года впервые это оружие было применено: самолёты США сбросили атомные бомбы на японские города Хиросима и Нагасаки.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Советском Союзе учёные работали не только над созданием оружия, но и над использованием ядерной энергии в мирных целях. И.В. Курчатов, создатель атомной бомбы (первые испытания прошли в 1949 году), стоял у основ атомной энергетики. Возглавляемый им коллектив учёных разработал и запустил в 1954 году Обнинскую АЭС - первую в мире атомную электростанцию. Сегодня ядерная реакция используется в судоходстве, медицине, нефтегазовой отрасли, в геофизике и археологии. </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Таким образом, создание ядерной теории атома изменило жизнь общества и открыло новые возможности в развитии науки и техники. Определим нижнюю границу вхождения термина «ядро» в значении «центральная положительно заряженная часть атома» с 1911 года.</w:t>
      </w:r>
    </w:p>
    <w:p>
      <w:pPr>
        <w:pStyle w:val="Normal"/>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Подведём итоги.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1. Слово «ядро» многозначное, 8 из 12 лексических значений которого являются терминами;</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sz w:val="24"/>
          <w:szCs w:val="24"/>
        </w:rPr>
        <w:t>П</w:t>
      </w:r>
      <w:r>
        <w:rPr>
          <w:rFonts w:cs="Times New Roman" w:ascii="Times New Roman" w:hAnsi="Times New Roman"/>
          <w:sz w:val="24"/>
          <w:szCs w:val="24"/>
        </w:rPr>
        <w:t>ервичные значения слова «ядро» являются обиходными;</w:t>
      </w:r>
    </w:p>
    <w:p>
      <w:pPr>
        <w:pStyle w:val="Normal"/>
        <w:spacing w:lineRule="auto" w:line="360" w:before="0" w:after="0"/>
        <w:ind w:firstLine="708"/>
        <w:jc w:val="both"/>
        <w:rPr/>
      </w:pPr>
      <w:r>
        <w:rPr>
          <w:rFonts w:cs="Times New Roman" w:ascii="Times New Roman" w:hAnsi="Times New Roman"/>
          <w:sz w:val="24"/>
          <w:szCs w:val="24"/>
        </w:rPr>
        <w:t xml:space="preserve">3. </w:t>
      </w:r>
      <w:r>
        <w:rPr>
          <w:rFonts w:eastAsia="Calibri" w:cs="Times New Roman" w:ascii="Times New Roman" w:hAnsi="Times New Roman" w:eastAsiaTheme="minorHAnsi"/>
          <w:color w:val="auto"/>
          <w:kern w:val="2"/>
          <w:sz w:val="24"/>
          <w:szCs w:val="24"/>
          <w:lang w:val="ru-RU" w:eastAsia="en-US" w:bidi="ar-SA"/>
          <w14:ligatures w14:val="standardContextual"/>
        </w:rPr>
        <w:t>Наиболее частотными можно считать термины из областей: физика, астрономия, биология, военное дело;</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4. </w:t>
      </w:r>
      <w:r>
        <w:rPr>
          <w:rFonts w:cs="Times New Roman" w:ascii="Times New Roman" w:hAnsi="Times New Roman"/>
          <w:sz w:val="24"/>
          <w:szCs w:val="24"/>
        </w:rPr>
        <w:t>Д</w:t>
      </w:r>
      <w:r>
        <w:rPr>
          <w:rFonts w:cs="Times New Roman" w:ascii="Times New Roman" w:hAnsi="Times New Roman"/>
          <w:sz w:val="24"/>
          <w:szCs w:val="24"/>
        </w:rPr>
        <w:t xml:space="preserve">аты появления наиболее частотных вторичных значений могут быть следующими: 1382 г. («снаряд для выстреливания из пушки»), 1644 г. («центральная часть астрономических объектов»), 1831 г. («органелла клетки»), 1911 г. («центральная часть атома»). </w:t>
      </w:r>
    </w:p>
    <w:p>
      <w:pPr>
        <w:pStyle w:val="Normal"/>
        <w:spacing w:lineRule="auto" w:line="360" w:before="0" w:after="0"/>
        <w:ind w:firstLine="708"/>
        <w:jc w:val="center"/>
        <w:rPr>
          <w:rFonts w:ascii="Times New Roman" w:hAnsi="Times New Roman" w:cs="Times New Roman"/>
          <w:sz w:val="24"/>
          <w:szCs w:val="24"/>
        </w:rPr>
      </w:pPr>
      <w:r>
        <w:rPr>
          <w:rFonts w:cs="Times New Roman" w:ascii="Times New Roman" w:hAnsi="Times New Roman"/>
          <w:sz w:val="24"/>
          <w:szCs w:val="24"/>
        </w:rPr>
        <w:t>Часть 2. Практическая</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Основной подкорпус НКРЯ охватывает письменные тексты, вошедшие в период с 1682 по 2022 годы. В нём представлено 3543 текста, содержащие 11744 примера. По конкордансу определим даты вхождения в подкорпус новых значений термина «ядро» и сопоставим с данными 1 части. Материалы оформим в виде таблицы.</w:t>
      </w:r>
    </w:p>
    <w:p>
      <w:pPr>
        <w:pStyle w:val="Normal"/>
        <w:spacing w:lineRule="auto" w:line="360" w:before="0" w:after="0"/>
        <w:ind w:firstLine="708"/>
        <w:jc w:val="right"/>
        <w:rPr>
          <w:rFonts w:ascii="Times New Roman" w:hAnsi="Times New Roman" w:cs="Times New Roman"/>
          <w:sz w:val="24"/>
          <w:szCs w:val="24"/>
        </w:rPr>
      </w:pPr>
      <w:r>
        <w:rPr>
          <w:rFonts w:cs="Times New Roman" w:ascii="Times New Roman" w:hAnsi="Times New Roman"/>
          <w:sz w:val="24"/>
          <w:szCs w:val="24"/>
        </w:rPr>
        <w:t>Таблица 1.</w:t>
      </w:r>
    </w:p>
    <w:tbl>
      <w:tblPr>
        <w:tblStyle w:val="af7"/>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38"/>
        <w:gridCol w:w="4080"/>
        <w:gridCol w:w="1727"/>
      </w:tblGrid>
      <w:tr>
        <w:trPr/>
        <w:tc>
          <w:tcPr>
            <w:tcW w:w="3538"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Дата, источник</w:t>
            </w:r>
          </w:p>
        </w:tc>
        <w:tc>
          <w:tcPr>
            <w:tcW w:w="4080"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Пример, лексическое значение</w:t>
            </w:r>
          </w:p>
        </w:tc>
        <w:tc>
          <w:tcPr>
            <w:tcW w:w="1727"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Дата научного открытия</w:t>
            </w:r>
          </w:p>
        </w:tc>
      </w:tr>
      <w:tr>
        <w:trPr/>
        <w:tc>
          <w:tcPr>
            <w:tcW w:w="3538"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1682-1709 г.г. И. А. Желябужский. «Дневные записки»</w:t>
            </w:r>
          </w:p>
        </w:tc>
        <w:tc>
          <w:tcPr>
            <w:tcW w:w="4080"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 xml:space="preserve">«… взяли 37 пушек, также и порох, и </w:t>
            </w:r>
            <w:r>
              <w:rPr>
                <w:rFonts w:eastAsia="Calibri" w:cs="Times New Roman" w:ascii="Times New Roman" w:hAnsi="Times New Roman"/>
                <w:i/>
                <w:iCs/>
                <w:kern w:val="2"/>
                <w:sz w:val="24"/>
                <w:szCs w:val="24"/>
                <w:lang w:val="ru-RU" w:eastAsia="en-US" w:bidi="ar-SA"/>
              </w:rPr>
              <w:t>ядра</w:t>
            </w:r>
            <w:r>
              <w:rPr>
                <w:rFonts w:eastAsia="Calibri" w:cs="Times New Roman" w:ascii="Times New Roman" w:hAnsi="Times New Roman"/>
                <w:kern w:val="2"/>
                <w:sz w:val="24"/>
                <w:szCs w:val="24"/>
                <w:lang w:val="ru-RU" w:eastAsia="en-US" w:bidi="ar-SA"/>
              </w:rPr>
              <w:t xml:space="preserve"> да языков…» (снаряд для выстреливания из пушки)</w:t>
            </w:r>
          </w:p>
        </w:tc>
        <w:tc>
          <w:tcPr>
            <w:tcW w:w="1727"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1382 г.</w:t>
            </w:r>
          </w:p>
        </w:tc>
      </w:tr>
      <w:tr>
        <w:trPr/>
        <w:tc>
          <w:tcPr>
            <w:tcW w:w="3538"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1764 г. А. М. Разумов. Перевод трактата В. Крафта «Руководство к математической и физической географии»</w:t>
            </w:r>
          </w:p>
        </w:tc>
        <w:tc>
          <w:tcPr>
            <w:tcW w:w="4080"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w:t>
            </w:r>
            <w:r>
              <w:rPr>
                <w:rFonts w:eastAsia="Calibri" w:cs="Times New Roman" w:ascii="Times New Roman" w:hAnsi="Times New Roman"/>
                <w:i/>
                <w:iCs/>
                <w:kern w:val="2"/>
                <w:sz w:val="24"/>
                <w:szCs w:val="24"/>
                <w:lang w:val="ru-RU" w:eastAsia="en-US" w:bidi="ar-SA"/>
              </w:rPr>
              <w:t>ядро</w:t>
            </w:r>
            <w:r>
              <w:rPr>
                <w:rFonts w:eastAsia="Calibri" w:cs="Times New Roman" w:ascii="Times New Roman" w:hAnsi="Times New Roman"/>
                <w:kern w:val="2"/>
                <w:sz w:val="24"/>
                <w:szCs w:val="24"/>
                <w:lang w:val="ru-RU" w:eastAsia="en-US" w:bidi="ar-SA"/>
              </w:rPr>
              <w:t xml:space="preserve"> земли состоитъ изъ желѣза…» (центральная часть планеты, звезды)</w:t>
            </w:r>
          </w:p>
        </w:tc>
        <w:tc>
          <w:tcPr>
            <w:tcW w:w="1727"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1644 г.</w:t>
            </w:r>
          </w:p>
        </w:tc>
      </w:tr>
      <w:tr>
        <w:trPr/>
        <w:tc>
          <w:tcPr>
            <w:tcW w:w="3538"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1878 г. К. А. Тимирязев. «Жизнь растения»</w:t>
            </w:r>
          </w:p>
        </w:tc>
        <w:tc>
          <w:tcPr>
            <w:tcW w:w="4080"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 xml:space="preserve">«Первоначально вся полость клеточки наполнена однообразной густой массой … с погруженным в нее округлым … </w:t>
            </w:r>
            <w:r>
              <w:rPr>
                <w:rFonts w:eastAsia="Calibri" w:cs="Times New Roman" w:ascii="Times New Roman" w:hAnsi="Times New Roman"/>
                <w:i/>
                <w:iCs/>
                <w:kern w:val="2"/>
                <w:sz w:val="24"/>
                <w:szCs w:val="24"/>
                <w:lang w:val="ru-RU" w:eastAsia="en-US" w:bidi="ar-SA"/>
              </w:rPr>
              <w:t>ядром</w:t>
            </w:r>
            <w:r>
              <w:rPr>
                <w:rFonts w:eastAsia="Calibri" w:cs="Times New Roman" w:ascii="Times New Roman" w:hAnsi="Times New Roman"/>
                <w:kern w:val="2"/>
                <w:sz w:val="24"/>
                <w:szCs w:val="24"/>
                <w:lang w:val="ru-RU" w:eastAsia="en-US" w:bidi="ar-SA"/>
              </w:rPr>
              <w:t>…» (органелла клетки)</w:t>
            </w:r>
          </w:p>
        </w:tc>
        <w:tc>
          <w:tcPr>
            <w:tcW w:w="1727"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1831 г.</w:t>
            </w:r>
          </w:p>
        </w:tc>
      </w:tr>
      <w:tr>
        <w:trPr/>
        <w:tc>
          <w:tcPr>
            <w:tcW w:w="3538"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1923 г. М. А. Блох. Значение радиоактивности для космических процессов (по Л. Мейтнер) // «Природа»</w:t>
            </w:r>
          </w:p>
        </w:tc>
        <w:tc>
          <w:tcPr>
            <w:tcW w:w="4080"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 xml:space="preserve">«…частички гелия отличаются от обыкновенных атомных </w:t>
            </w:r>
            <w:r>
              <w:rPr>
                <w:rFonts w:eastAsia="Calibri" w:cs="Times New Roman" w:ascii="Times New Roman" w:hAnsi="Times New Roman"/>
                <w:i/>
                <w:iCs/>
                <w:kern w:val="2"/>
                <w:sz w:val="24"/>
                <w:szCs w:val="24"/>
                <w:lang w:val="ru-RU" w:eastAsia="en-US" w:bidi="ar-SA"/>
              </w:rPr>
              <w:t>ядер</w:t>
            </w:r>
            <w:r>
              <w:rPr>
                <w:rFonts w:eastAsia="Calibri" w:cs="Times New Roman" w:ascii="Times New Roman" w:hAnsi="Times New Roman"/>
                <w:kern w:val="2"/>
                <w:sz w:val="24"/>
                <w:szCs w:val="24"/>
                <w:lang w:val="ru-RU" w:eastAsia="en-US" w:bidi="ar-SA"/>
              </w:rPr>
              <w:t xml:space="preserve"> гелия лишь своей большой скоростью…» (центральная часть атома)</w:t>
            </w:r>
          </w:p>
        </w:tc>
        <w:tc>
          <w:tcPr>
            <w:tcW w:w="1727" w:type="dxa"/>
            <w:tcBorders/>
          </w:tcPr>
          <w:p>
            <w:pPr>
              <w:pStyle w:val="Normal"/>
              <w:widowControl/>
              <w:suppressAutoHyphens w:val="true"/>
              <w:spacing w:lineRule="auto" w:line="360" w:before="0" w:after="0"/>
              <w:jc w:val="both"/>
              <w:rPr>
                <w:rFonts w:ascii="Times New Roman" w:hAnsi="Times New Roman" w:cs="Times New Roman"/>
                <w:sz w:val="24"/>
                <w:szCs w:val="24"/>
              </w:rPr>
            </w:pPr>
            <w:r>
              <w:rPr>
                <w:rFonts w:eastAsia="Calibri" w:cs="Times New Roman" w:ascii="Times New Roman" w:hAnsi="Times New Roman"/>
                <w:kern w:val="2"/>
                <w:sz w:val="24"/>
                <w:szCs w:val="24"/>
                <w:lang w:val="ru-RU" w:eastAsia="en-US" w:bidi="ar-SA"/>
              </w:rPr>
              <w:t>1911 г.</w:t>
            </w:r>
          </w:p>
        </w:tc>
      </w:tr>
    </w:tbl>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Таблица позволяет увидеть, что к 1923 году основные терминологические значения слова «ядро» в подкорпусе были представлены. Сопоставив дату научного открытия и дату вхождения в подкорпус термина, отметим, что с каждым периодом сокращается срок вхождения слова в язык (от 300 до 10 лет). Это обусловлено появлением новых средств коммуникации: книгопечатание, радио, пресса.</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Для подсчёта частотности употребления термина «ядро» обратимся к разделу n-граммы (3-граммы). Всего в разделе содержится 940 примеров. Определим частотность, подсчитав количество вхождений в подкорпус терминов, расположим данные в порядке возрастания:</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«центральная часть атома»  - 319 вхождений (33,97%)</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«снаряд для выстреливания из пушки» - 212 вхождений (22,55%)</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«органелла клетки» - 98 вхождений (10,42%)</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«центральная часть планеты, звезды» - 85 вхождений (9,04%)</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Таким образом, термин «ядро» в четырёх наиболее частотных значениях входит в Основной подкорпус 766 раз, что соответствует 81,49% от общего числа вхождений. Это связано с тем, что биология, астрономия и физика наиболее тесно связаны с жизнью общества и способствуют научно-техническому прогрессу, а военное дело определяет боеспособность страны.</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Обратившись к конкордансу, раздел KWIC, определим частотность употребления слова «ядро» в качестве терминов и в обиходных значениях. Составим таблицу. В ней периоды обусловлены датами вхождения новых терминов в подкорпус.</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Таблица 2.</w:t>
      </w:r>
    </w:p>
    <w:tbl>
      <w:tblPr>
        <w:tblW w:w="5000" w:type="pct"/>
        <w:jc w:val="left"/>
        <w:tblInd w:w="0" w:type="dxa"/>
        <w:tblLayout w:type="fixed"/>
        <w:tblCellMar>
          <w:top w:w="0" w:type="dxa"/>
          <w:left w:w="0" w:type="dxa"/>
          <w:bottom w:w="0" w:type="dxa"/>
          <w:right w:w="0" w:type="dxa"/>
        </w:tblCellMar>
        <w:tblLook w:val="04a0" w:noHBand="0" w:noVBand="1" w:firstColumn="1" w:lastRow="0" w:lastColumn="0" w:firstRow="1"/>
      </w:tblPr>
      <w:tblGrid>
        <w:gridCol w:w="1188"/>
        <w:gridCol w:w="1705"/>
        <w:gridCol w:w="994"/>
        <w:gridCol w:w="1296"/>
        <w:gridCol w:w="1296"/>
        <w:gridCol w:w="1396"/>
        <w:gridCol w:w="1194"/>
      </w:tblGrid>
      <w:tr>
        <w:trPr/>
        <w:tc>
          <w:tcPr>
            <w:tcW w:w="1188"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Период</w:t>
            </w:r>
          </w:p>
        </w:tc>
        <w:tc>
          <w:tcPr>
            <w:tcW w:w="6687" w:type="dxa"/>
            <w:gridSpan w:val="5"/>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Термины</w:t>
            </w:r>
          </w:p>
        </w:tc>
        <w:tc>
          <w:tcPr>
            <w:tcW w:w="11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Обиходные значения</w:t>
            </w:r>
          </w:p>
        </w:tc>
      </w:tr>
      <w:tr>
        <w:trPr>
          <w:trHeight w:val="877" w:hRule="atLeast"/>
        </w:trPr>
        <w:tc>
          <w:tcPr>
            <w:tcW w:w="1188"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5"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Военное дело (артиллерия)</w:t>
            </w:r>
          </w:p>
        </w:tc>
        <w:tc>
          <w:tcPr>
            <w:tcW w:w="9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Астрономия</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Биология</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Физика</w:t>
            </w:r>
          </w:p>
        </w:tc>
        <w:tc>
          <w:tcPr>
            <w:tcW w:w="13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Иные</w:t>
            </w:r>
          </w:p>
        </w:tc>
        <w:tc>
          <w:tcPr>
            <w:tcW w:w="11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1188"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До 1764 г.</w:t>
            </w:r>
          </w:p>
        </w:tc>
        <w:tc>
          <w:tcPr>
            <w:tcW w:w="1705"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37</w:t>
            </w:r>
          </w:p>
        </w:tc>
        <w:tc>
          <w:tcPr>
            <w:tcW w:w="9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3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1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c>
          <w:tcPr>
            <w:tcW w:w="1188"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С 1764 по 1878 г.г.</w:t>
            </w:r>
          </w:p>
        </w:tc>
        <w:tc>
          <w:tcPr>
            <w:tcW w:w="1705"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871</w:t>
            </w:r>
          </w:p>
        </w:tc>
        <w:tc>
          <w:tcPr>
            <w:tcW w:w="9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3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11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207</w:t>
            </w:r>
          </w:p>
        </w:tc>
      </w:tr>
      <w:tr>
        <w:trPr/>
        <w:tc>
          <w:tcPr>
            <w:tcW w:w="1188"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С 1878 по 1923 г.г.</w:t>
            </w:r>
          </w:p>
        </w:tc>
        <w:tc>
          <w:tcPr>
            <w:tcW w:w="1705"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498</w:t>
            </w:r>
          </w:p>
        </w:tc>
        <w:tc>
          <w:tcPr>
            <w:tcW w:w="9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73</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w:t>
            </w:r>
          </w:p>
        </w:tc>
        <w:tc>
          <w:tcPr>
            <w:tcW w:w="13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129</w:t>
            </w:r>
          </w:p>
        </w:tc>
        <w:tc>
          <w:tcPr>
            <w:tcW w:w="11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295</w:t>
            </w:r>
            <w:bookmarkStart w:id="3" w:name="_GoBack"/>
            <w:bookmarkEnd w:id="3"/>
          </w:p>
        </w:tc>
      </w:tr>
      <w:tr>
        <w:trPr/>
        <w:tc>
          <w:tcPr>
            <w:tcW w:w="1188"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С 1923 по 2022 г.г.</w:t>
            </w:r>
          </w:p>
        </w:tc>
        <w:tc>
          <w:tcPr>
            <w:tcW w:w="1705"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962</w:t>
            </w:r>
          </w:p>
        </w:tc>
        <w:tc>
          <w:tcPr>
            <w:tcW w:w="9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593</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899</w:t>
            </w:r>
          </w:p>
        </w:tc>
        <w:tc>
          <w:tcPr>
            <w:tcW w:w="12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1899</w:t>
            </w:r>
          </w:p>
        </w:tc>
        <w:tc>
          <w:tcPr>
            <w:tcW w:w="1396"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1042</w:t>
            </w:r>
          </w:p>
        </w:tc>
        <w:tc>
          <w:tcPr>
            <w:tcW w:w="1194" w:type="dxa"/>
            <w:tcBorders/>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2036</w:t>
            </w:r>
          </w:p>
        </w:tc>
      </w:tr>
    </w:tbl>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Данная таблица показывает, что слово «ядро» постепенно принимает новые лексические значения. Данные в таблице указывают количество вхождений слова в подкорпус. Они свидетельствуют о том, что все термины, войдя в язык, остаются в нём и количество их словоупотреблений с каждый периодом увеличивается. Приведённая ниже диаграмма позволяет проследить увеличение частотности употребления слова. </w:t>
        <w:tab/>
      </w:r>
    </w:p>
    <w:p>
      <w:pPr>
        <w:pStyle w:val="Normal"/>
        <w:spacing w:lineRule="auto" w:line="360" w:before="0" w:after="0"/>
        <w:jc w:val="both"/>
        <w:rPr>
          <w:rFonts w:ascii="Times New Roman" w:hAnsi="Times New Roman" w:cs="Times New Roman"/>
          <w:sz w:val="24"/>
          <w:szCs w:val="24"/>
        </w:rPr>
      </w:pPr>
      <w:r/>
      <w:r>
        <w:rPr>
          <w:rStyle w:val="Strong"/>
          <w:rFonts w:eastAsia="Calibri" w:cs="Times New Roman" w:ascii="Times New Roman" w:hAnsi="Times New Roman" w:eastAsiaTheme="minorHAnsi"/>
          <w:b w:val="false"/>
          <w:bCs w:val="false"/>
          <w:color w:val="auto"/>
          <w:kern w:val="2"/>
          <w:sz w:val="24"/>
          <w:szCs w:val="24"/>
          <w:lang w:val="ru-RU" w:eastAsia="en-US" w:bidi="ar-SA"/>
          <w14:ligatures w14:val="standardContextual"/>
        </w:rPr>
        <w:drawing>
          <wp:anchor behindDoc="0" distT="0" distB="0" distL="0" distR="0" simplePos="0" locked="0" layoutInCell="0" allowOverlap="1" relativeHeight="2">
            <wp:simplePos x="0" y="0"/>
            <wp:positionH relativeFrom="column">
              <wp:posOffset>62230</wp:posOffset>
            </wp:positionH>
            <wp:positionV relativeFrom="paragraph">
              <wp:posOffset>118110</wp:posOffset>
            </wp:positionV>
            <wp:extent cx="5810885" cy="1510665"/>
            <wp:effectExtent l="0" t="0" r="0" b="0"/>
            <wp:wrapSquare wrapText="largest"/>
            <wp:docPr id="1" name="Объект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tab/>
        <w:t>Более тонкий статистический анализ</w:t>
      </w:r>
      <w:r>
        <w:rPr>
          <w:rFonts w:eastAsia="Calibri" w:cs="Times New Roman" w:ascii="Times New Roman" w:hAnsi="Times New Roman" w:eastAsiaTheme="minorHAnsi"/>
          <w:b/>
          <w:bCs/>
          <w:color w:val="auto"/>
          <w:kern w:val="2"/>
          <w:sz w:val="24"/>
          <w:szCs w:val="24"/>
          <w:lang w:val="ru-RU" w:eastAsia="en-US" w:bidi="ar-SA"/>
          <w14:ligatures w14:val="standardContextual"/>
        </w:rPr>
        <w:t xml:space="preserve"> </w:t>
      </w:r>
      <w:r>
        <w:rPr>
          <w:rFonts w:eastAsia="Calibri" w:cs="Times New Roman" w:ascii="Times New Roman" w:hAnsi="Times New Roman" w:eastAsiaTheme="minorHAnsi"/>
          <w:color w:val="auto"/>
          <w:kern w:val="2"/>
          <w:sz w:val="24"/>
          <w:szCs w:val="24"/>
          <w:lang w:val="ru-RU" w:eastAsia="en-US" w:bidi="ar-SA"/>
          <w14:ligatures w14:val="standardContextual"/>
        </w:rPr>
        <w:t xml:space="preserve">данных таблицы подтверждает и детализирует эту тенденцию. Если рассчитать </w:t>
      </w:r>
      <w:r>
        <w:rPr>
          <w:rStyle w:val="Strong"/>
          <w:rFonts w:eastAsia="Calibri" w:cs="Times New Roman" w:ascii="Times New Roman" w:hAnsi="Times New Roman" w:eastAsiaTheme="minorHAnsi"/>
          <w:b w:val="false"/>
          <w:bCs w:val="false"/>
          <w:color w:val="auto"/>
          <w:kern w:val="2"/>
          <w:sz w:val="24"/>
          <w:szCs w:val="24"/>
          <w:lang w:val="ru-RU" w:eastAsia="en-US" w:bidi="ar-SA"/>
          <w14:ligatures w14:val="standardContextual"/>
        </w:rPr>
        <w:t>среднее арифметическое</w:t>
      </w:r>
      <w:r>
        <w:rPr>
          <w:rFonts w:eastAsia="Calibri" w:cs="Times New Roman" w:ascii="Times New Roman" w:hAnsi="Times New Roman" w:eastAsiaTheme="minorHAnsi"/>
          <w:color w:val="auto"/>
          <w:kern w:val="2"/>
          <w:sz w:val="24"/>
          <w:szCs w:val="24"/>
          <w:lang w:val="ru-RU" w:eastAsia="en-US" w:bidi="ar-SA"/>
          <w14:ligatures w14:val="standardContextual"/>
        </w:rPr>
        <w:t xml:space="preserve"> количество вхождений термина за период, оно демонстрирует взрывной рост: от 8.2 в год до 1764 г. до </w:t>
      </w:r>
      <w:r>
        <w:rPr>
          <w:rStyle w:val="Strong"/>
          <w:rFonts w:eastAsia="Calibri" w:cs="Times New Roman" w:ascii="Times New Roman" w:hAnsi="Times New Roman" w:eastAsiaTheme="minorHAnsi"/>
          <w:b w:val="false"/>
          <w:bCs w:val="false"/>
          <w:color w:val="auto"/>
          <w:kern w:val="2"/>
          <w:sz w:val="24"/>
          <w:szCs w:val="24"/>
          <w:lang w:val="ru-RU" w:eastAsia="en-US" w:bidi="ar-SA"/>
          <w14:ligatures w14:val="standardContextual"/>
        </w:rPr>
        <w:t>111.5 в год</w:t>
      </w:r>
      <w:r>
        <w:rPr>
          <w:rFonts w:eastAsia="Calibri" w:cs="Times New Roman" w:ascii="Times New Roman" w:hAnsi="Times New Roman" w:eastAsiaTheme="minorHAnsi"/>
          <w:color w:val="auto"/>
          <w:kern w:val="2"/>
          <w:sz w:val="24"/>
          <w:szCs w:val="24"/>
          <w:lang w:val="ru-RU" w:eastAsia="en-US" w:bidi="ar-SA"/>
          <w14:ligatures w14:val="standardContextual"/>
        </w:rPr>
        <w:t xml:space="preserve"> в период 1923-2022 гг. Однако этот рост был неравномерным. </w:t>
      </w:r>
      <w:r>
        <w:rPr>
          <w:rStyle w:val="Strong"/>
          <w:rFonts w:eastAsia="Calibri" w:cs="Times New Roman" w:ascii="Times New Roman" w:hAnsi="Times New Roman" w:eastAsiaTheme="minorHAnsi"/>
          <w:b w:val="false"/>
          <w:bCs w:val="false"/>
          <w:color w:val="auto"/>
          <w:kern w:val="2"/>
          <w:sz w:val="24"/>
          <w:szCs w:val="24"/>
          <w:lang w:val="ru-RU" w:eastAsia="en-US" w:bidi="ar-SA"/>
          <w14:ligatures w14:val="standardContextual"/>
        </w:rPr>
        <w:t>Медианное</w:t>
      </w:r>
      <w:r>
        <w:rPr>
          <w:rFonts w:eastAsia="Calibri" w:cs="Times New Roman" w:ascii="Times New Roman" w:hAnsi="Times New Roman" w:eastAsiaTheme="minorHAnsi"/>
          <w:color w:val="auto"/>
          <w:kern w:val="2"/>
          <w:sz w:val="24"/>
          <w:szCs w:val="24"/>
          <w:lang w:val="ru-RU" w:eastAsia="en-US" w:bidi="ar-SA"/>
          <w14:ligatures w14:val="standardContextual"/>
        </w:rPr>
        <w:t xml:space="preserve"> значение частотности по всем четырем терминам (военное, астрономия, биология, физика) в последнем периоде составляет 746 вхождений, что значительно превышает </w:t>
      </w:r>
      <w:r>
        <w:rPr>
          <w:rStyle w:val="Strong"/>
          <w:rFonts w:eastAsia="Calibri" w:cs="Times New Roman" w:ascii="Times New Roman" w:hAnsi="Times New Roman" w:eastAsiaTheme="minorHAnsi"/>
          <w:b w:val="false"/>
          <w:bCs w:val="false"/>
          <w:color w:val="auto"/>
          <w:kern w:val="2"/>
          <w:sz w:val="24"/>
          <w:szCs w:val="24"/>
          <w:lang w:val="ru-RU" w:eastAsia="en-US" w:bidi="ar-SA"/>
          <w14:ligatures w14:val="standardContextual"/>
        </w:rPr>
        <w:t>моду</w:t>
      </w:r>
      <w:r>
        <w:rPr>
          <w:rFonts w:eastAsia="Calibri" w:cs="Times New Roman" w:ascii="Times New Roman" w:hAnsi="Times New Roman" w:eastAsiaTheme="minorHAnsi"/>
          <w:color w:val="auto"/>
          <w:kern w:val="2"/>
          <w:sz w:val="24"/>
          <w:szCs w:val="24"/>
          <w:lang w:val="ru-RU" w:eastAsia="en-US" w:bidi="ar-SA"/>
          <w14:ligatures w14:val="standardContextual"/>
        </w:rPr>
        <w:t xml:space="preserve"> предыдущих периодов, которой неизменно было военное значение. Это указывает на смещение смыслового центра: если изначально слово «ядро» было монополизировано артиллерией, то к XX веку оно стало полноценным многозначным термином с устойчивым ядром значений в точных и естественных науках.</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ab/>
        <w:t xml:space="preserve">Также конкорданс помогает отследить, как изменяется лексическая сочетаемость слова «ядро» в каждый из периодов. В качестве атрибута было выбрано прилагательное, так как оно наиболее точно и полно характеризует предмет. Данные прилагательные помещены в таблицу в соответствии с периодами. </w:t>
      </w:r>
    </w:p>
    <w:p>
      <w:pPr>
        <w:pStyle w:val="Normal"/>
        <w:spacing w:lineRule="auto" w:line="360" w:before="0" w:after="0"/>
        <w:jc w:val="right"/>
        <w:rPr>
          <w:rFonts w:ascii="Times New Roman" w:hAnsi="Times New Roman" w:cs="Times New Roman"/>
          <w:sz w:val="24"/>
          <w:szCs w:val="24"/>
        </w:rPr>
      </w:pPr>
      <w:r>
        <w:rPr>
          <w:rFonts w:cs="Times New Roman" w:ascii="Times New Roman" w:hAnsi="Times New Roman"/>
          <w:sz w:val="24"/>
          <w:szCs w:val="24"/>
        </w:rPr>
        <w:t>Таблица 3.</w:t>
      </w:r>
    </w:p>
    <w:tbl>
      <w:tblPr>
        <w:tblW w:w="8954" w:type="dxa"/>
        <w:jc w:val="left"/>
        <w:tblInd w:w="160" w:type="dxa"/>
        <w:tblLayout w:type="fixed"/>
        <w:tblCellMar>
          <w:top w:w="55" w:type="dxa"/>
          <w:left w:w="55" w:type="dxa"/>
          <w:bottom w:w="55" w:type="dxa"/>
          <w:right w:w="55" w:type="dxa"/>
        </w:tblCellMar>
      </w:tblPr>
      <w:tblGrid>
        <w:gridCol w:w="946"/>
        <w:gridCol w:w="621"/>
        <w:gridCol w:w="1802"/>
        <w:gridCol w:w="1800"/>
        <w:gridCol w:w="3785"/>
      </w:tblGrid>
      <w:tr>
        <w:trPr/>
        <w:tc>
          <w:tcPr>
            <w:tcW w:w="946" w:type="dxa"/>
            <w:tcBorders>
              <w:top w:val="single" w:sz="4" w:space="0" w:color="000000"/>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Периоды</w:t>
            </w:r>
          </w:p>
        </w:tc>
        <w:tc>
          <w:tcPr>
            <w:tcW w:w="621" w:type="dxa"/>
            <w:tcBorders>
              <w:top w:val="single" w:sz="4" w:space="0" w:color="000000"/>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До 1764 г.</w:t>
            </w:r>
          </w:p>
        </w:tc>
        <w:tc>
          <w:tcPr>
            <w:tcW w:w="1802" w:type="dxa"/>
            <w:tcBorders>
              <w:top w:val="single" w:sz="4" w:space="0" w:color="000000"/>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1764-1878 гг.</w:t>
            </w:r>
          </w:p>
        </w:tc>
        <w:tc>
          <w:tcPr>
            <w:tcW w:w="1800" w:type="dxa"/>
            <w:tcBorders>
              <w:top w:val="single" w:sz="4" w:space="0" w:color="000000"/>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1878-1923 гг.</w:t>
            </w:r>
          </w:p>
        </w:tc>
        <w:tc>
          <w:tcPr>
            <w:tcW w:w="3785"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1923-2022 гг.</w:t>
            </w:r>
          </w:p>
        </w:tc>
      </w:tr>
      <w:tr>
        <w:trPr/>
        <w:tc>
          <w:tcPr>
            <w:tcW w:w="946" w:type="dxa"/>
            <w:tcBorders>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Сочетания</w:t>
            </w:r>
          </w:p>
        </w:tc>
        <w:tc>
          <w:tcPr>
            <w:tcW w:w="621" w:type="dxa"/>
            <w:tcBorders>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1</w:t>
            </w:r>
          </w:p>
        </w:tc>
        <w:tc>
          <w:tcPr>
            <w:tcW w:w="1802" w:type="dxa"/>
            <w:tcBorders>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14</w:t>
            </w:r>
          </w:p>
        </w:tc>
        <w:tc>
          <w:tcPr>
            <w:tcW w:w="1800" w:type="dxa"/>
            <w:tcBorders>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17 (терминов - 2)</w:t>
            </w:r>
          </w:p>
        </w:tc>
        <w:tc>
          <w:tcPr>
            <w:tcW w:w="3785" w:type="dxa"/>
            <w:tcBorders>
              <w:left w:val="single" w:sz="4" w:space="0" w:color="000000"/>
              <w:bottom w:val="single" w:sz="4" w:space="0" w:color="000000"/>
              <w:right w:val="single" w:sz="4" w:space="0" w:color="000000"/>
            </w:tcBorders>
            <w:shd w:fill="FFFFFF" w:val="clear"/>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148 (терминов - 36)</w:t>
            </w:r>
          </w:p>
        </w:tc>
      </w:tr>
      <w:tr>
        <w:trPr/>
        <w:tc>
          <w:tcPr>
            <w:tcW w:w="946" w:type="dxa"/>
            <w:tcBorders>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Примеры</w:t>
            </w:r>
          </w:p>
        </w:tc>
        <w:tc>
          <w:tcPr>
            <w:tcW w:w="621" w:type="dxa"/>
            <w:tcBorders>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пушечный</w:t>
            </w:r>
          </w:p>
        </w:tc>
        <w:tc>
          <w:tcPr>
            <w:tcW w:w="1802" w:type="dxa"/>
            <w:tcBorders>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пушечный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калёный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неприятельский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чугунный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упсальский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фунтовый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внутренний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ореховый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железный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турецкий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российский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белый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французский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русский</w:t>
            </w:r>
          </w:p>
        </w:tc>
        <w:tc>
          <w:tcPr>
            <w:tcW w:w="1800" w:type="dxa"/>
            <w:tcBorders>
              <w:left w:val="single" w:sz="4" w:space="0" w:color="000000"/>
              <w:bottom w:val="single" w:sz="4" w:space="0" w:color="000000"/>
            </w:tcBorders>
          </w:tcPr>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пушечный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чугунный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ароматический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калёный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кометный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клеточный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основной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неприятельский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национальный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центральный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каменный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здоровый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будущий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главный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французский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русский</w:t>
            </w:r>
          </w:p>
          <w:p>
            <w:pPr>
              <w:pStyle w:val="Normal"/>
              <w:spacing w:lineRule="auto" w:line="360" w:before="0" w:after="0"/>
              <w:ind w:hanging="0"/>
              <w:jc w:val="both"/>
              <w:rPr>
                <w:rFonts w:ascii="Times New Roman" w:hAnsi="Times New Roman" w:cs="Times New Roman"/>
                <w:sz w:val="24"/>
                <w:szCs w:val="24"/>
              </w:rPr>
            </w:pPr>
            <w:r>
              <w:rPr>
                <w:rFonts w:cs="Times New Roman" w:ascii="Times New Roman" w:hAnsi="Times New Roman"/>
                <w:sz w:val="24"/>
                <w:szCs w:val="24"/>
              </w:rPr>
              <w:t>новый</w:t>
            </w:r>
          </w:p>
        </w:tc>
        <w:tc>
          <w:tcPr>
            <w:tcW w:w="3785" w:type="dxa"/>
            <w:tcBorders>
              <w:left w:val="single" w:sz="4" w:space="0" w:color="000000"/>
              <w:bottom w:val="single" w:sz="4" w:space="0" w:color="000000"/>
              <w:right w:val="single" w:sz="4" w:space="0" w:color="000000"/>
            </w:tcBorders>
          </w:tcPr>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Атомный, основной, клеточный, тяжелый, пушечный, центральный, активный, новый, земной, чугунный, галактический, легкий, каменный, железный, смысловой, бензольный, русский, маленький, должен, твердый, радиоактивный, национальный, будущий, главный, черный, двигательный, внутренний, жидкий, культурный, исторический, семантический, металлический, ледяной, составной, 6урановый, стероидный, каленый, хвостатый, небольшой, большой, здоровый, каолиновый, равный, тепловой, дочерний, ароматический, первоначальный, плотный, кометный, средний, стабильный, зрительный, красный, сверхтяжелый, устойчивый, чечевицеобразный, вестибулярный, собственный, разный, водородный, функциональный, вегетативный, неприятельский, магический, боевой, зажигательный, общий, различный, промежуточный, российский, политический, массивный, крепкий, шизоидный, химический, рабочий, крупный, внешний, одиночный, продолговатый, французский, этнический, круглый, мужской. Затравочный, полярный, солнечный, европейский, ленинский, передний, математический, глазодвигательный, половой, базальный, белый, слюноотделительный, прочный, советский, материнский, грецкий, парасимпатический, исходный, древний, лицевой, расположенный, положительный, данный, мировой, концептуальный, единый, творческий, железо-никелевый, готовый, обычный, двойной, огненный, неизменный, сложный, ценностный, старый, планетарный, генетический, сейфертовский, современный, информационный, задний, лексический, ретикулярный, интеллигентный партийный, каторжный, шизофренический, научный, соматический, интеллектуальный, рациональный, ударный, настоящий, турецкий, онтологический, живой, мощный, одинаковый, постоянный, золотой, пролетарский, большевистский</w:t>
            </w:r>
          </w:p>
        </w:tc>
      </w:tr>
    </w:tbl>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Из таблицы видно, что с каждым периодом растёт лексическая сочетаемость слова «ядро» и на основании свободных сочетаний возникают новые понятия (термины): атомный, клеточный, галактический, бензольный, стероидный, вегетативный и многие другие</w:t>
      </w:r>
      <w:r>
        <w:rPr>
          <w:rFonts w:cs="Times New Roman" w:ascii="Times New Roman" w:hAnsi="Times New Roman"/>
          <w:sz w:val="24"/>
          <w:szCs w:val="24"/>
          <w:shd w:fill="auto" w:val="clear"/>
          <w14:ligatures w14:val="standardContextual"/>
        </w:rPr>
        <w:t xml:space="preserve">. </w:t>
      </w:r>
    </w:p>
    <w:p>
      <w:pPr>
        <w:pStyle w:val="Normal"/>
        <w:spacing w:lineRule="auto" w:line="360" w:before="0" w:after="0"/>
        <w:jc w:val="both"/>
        <w:rPr>
          <w:rFonts w:ascii="Times New Roman" w:hAnsi="Times New Roman" w:cs="Times New Roman"/>
          <w:sz w:val="24"/>
          <w:szCs w:val="24"/>
        </w:rPr>
      </w:pPr>
      <w:r/>
      <w:r>
        <w:rPr>
          <w:rFonts w:cs="Times New Roman" w:ascii="Times New Roman" w:hAnsi="Times New Roman"/>
          <w:sz w:val="24"/>
          <w:szCs w:val="24"/>
        </w:rPr>
        <w:drawing>
          <wp:anchor behindDoc="0" distT="0" distB="0" distL="0" distR="0" simplePos="0" locked="0" layoutInCell="0" allowOverlap="1" relativeHeight="3">
            <wp:simplePos x="0" y="0"/>
            <wp:positionH relativeFrom="column">
              <wp:posOffset>-16510</wp:posOffset>
            </wp:positionH>
            <wp:positionV relativeFrom="paragraph">
              <wp:posOffset>-54610</wp:posOffset>
            </wp:positionV>
            <wp:extent cx="2717800" cy="1529080"/>
            <wp:effectExtent l="0" t="0" r="0" b="0"/>
            <wp:wrapSquare wrapText="largest"/>
            <wp:docPr id="2" name="Объект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t xml:space="preserve">Данная диаграмма позволяет представить рост количества прилагательных, с которым может сочетаться слово «ядро» в процессе развития языка. </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Выводы</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Опираясь на данные, полученные в ходе исследования, было установлено: слово «ядро» приобретает новые терминологические значения, определяемые научно-техническим прогрессом. Возрастает его частотность и семантическая сочетаемость, причём возникают не только свободные, но и устойчивые выражения, получающие статус термина. Таким образом, гипотеза была подтверждена.</w:t>
      </w:r>
    </w:p>
    <w:p>
      <w:pPr>
        <w:pStyle w:val="Normal"/>
        <w:spacing w:lineRule="auto" w:line="360" w:before="0" w:after="0"/>
        <w:jc w:val="left"/>
        <w:rPr/>
      </w:pPr>
      <w:r>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Список литературы</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1.Батюшкова И.В. Внутреннее строение Земли. - М.: Наука. 1966.</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2.Большая российская энциклопедия. Семантика как наука. https://old.bigenc.ru/linguistics/text/3546954</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3.Большая российская энциклопедия. Ядерная физика: https://bigenc.ru/c/iadernaia-fizika-fd71f2?ysclid=mk0ztu5zmg82387370</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4.Вермель Е.В. История учения о клетке. - М. Наука. 1970.</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5.Старосельская – Никитина О.А. История радиоактивности и возникновения ядерной физики. – М.: Издательство Академии наук СССР, 1963.</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6.В. Н. Шапошников В.Н. Семантические преобразования в современном русском языке. – М.: URSS: ЛИБРОКОМ, 2012. </w:t>
      </w:r>
    </w:p>
    <w:sectPr>
      <w:footerReference w:type="even" r:id="rId4"/>
      <w:footerReference w:type="default" r:id="rId5"/>
      <w:footerReference w:type="first" r:id="rId6"/>
      <w:type w:val="nextPage"/>
      <w:pgSz w:w="11906" w:h="16838"/>
      <w:pgMar w:left="1418" w:right="1418" w:gutter="0" w:header="0" w:top="1134" w:footer="1134" w:bottom="1853"/>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Open Sans">
    <w:charset w:val="01"/>
    <w:family w:val="swiss"/>
    <w:pitch w:val="variable"/>
  </w:font>
  <w:font w:name="Times New Roman">
    <w:charset w:val="01"/>
    <w:family w:val="roman"/>
    <w:pitch w:val="variable"/>
  </w:font>
  <w:font w:name="Segoe UI">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right"/>
      <w:rPr/>
    </w:pPr>
    <w:bookmarkStart w:id="4" w:name="PageNumWizard_FOOTER_Default_Page_Style1"/>
    <w:r>
      <w:rPr/>
      <w:fldChar w:fldCharType="begin"/>
    </w:r>
    <w:r>
      <w:rPr/>
      <w:instrText xml:space="preserve"> PAGE </w:instrText>
    </w:r>
    <w:r>
      <w:rPr/>
      <w:fldChar w:fldCharType="separate"/>
    </w:r>
    <w:r>
      <w:rPr/>
      <w:t>14</w:t>
    </w:r>
    <w:r>
      <w:rPr/>
      <w:fldChar w:fldCharType="end"/>
    </w:r>
    <w:bookmarkEnd w:id="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right"/>
      <w:rPr/>
    </w:pPr>
    <w:bookmarkStart w:id="5" w:name="PageNumWizard_FOOTER_Default_Page_Style1"/>
    <w:r>
      <w:rPr/>
      <w:fldChar w:fldCharType="begin"/>
    </w:r>
    <w:r>
      <w:rPr/>
      <w:instrText xml:space="preserve"> PAGE </w:instrText>
    </w:r>
    <w:r>
      <w:rPr/>
      <w:fldChar w:fldCharType="separate"/>
    </w:r>
    <w:r>
      <w:rPr/>
      <w:t>14</w:t>
    </w:r>
    <w:r>
      <w:rPr/>
      <w:fldChar w:fldCharType="end"/>
    </w:r>
    <w:bookmarkEnd w:id="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471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14:ligatures w14:val="standardContextual"/>
    </w:rPr>
  </w:style>
  <w:style w:type="paragraph" w:styleId="Heading1">
    <w:name w:val="heading 1"/>
    <w:basedOn w:val="Normal"/>
    <w:next w:val="Normal"/>
    <w:link w:val="1"/>
    <w:uiPriority w:val="9"/>
    <w:qFormat/>
    <w:rsid w:val="00772d4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iPriority w:val="9"/>
    <w:semiHidden/>
    <w:unhideWhenUsed/>
    <w:qFormat/>
    <w:rsid w:val="00772d4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772d4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4"/>
    <w:uiPriority w:val="9"/>
    <w:semiHidden/>
    <w:unhideWhenUsed/>
    <w:qFormat/>
    <w:rsid w:val="00772d4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5"/>
    <w:uiPriority w:val="9"/>
    <w:semiHidden/>
    <w:unhideWhenUsed/>
    <w:qFormat/>
    <w:rsid w:val="00772d4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6"/>
    <w:uiPriority w:val="9"/>
    <w:semiHidden/>
    <w:unhideWhenUsed/>
    <w:qFormat/>
    <w:rsid w:val="00772d4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
    <w:uiPriority w:val="9"/>
    <w:semiHidden/>
    <w:unhideWhenUsed/>
    <w:qFormat/>
    <w:rsid w:val="00772d4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772d4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9"/>
    <w:uiPriority w:val="9"/>
    <w:semiHidden/>
    <w:unhideWhenUsed/>
    <w:qFormat/>
    <w:rsid w:val="00772d4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772d45"/>
    <w:rPr>
      <w:rFonts w:ascii="Calibri Light" w:hAnsi="Calibri Light" w:eastAsia="" w:cs=""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uiPriority w:val="9"/>
    <w:semiHidden/>
    <w:qFormat/>
    <w:rsid w:val="00772d45"/>
    <w:rPr>
      <w:rFonts w:ascii="Calibri Light" w:hAnsi="Calibri Light" w:eastAsia="" w:cs=""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
    <w:semiHidden/>
    <w:qFormat/>
    <w:rsid w:val="00772d45"/>
    <w:rPr>
      <w:rFonts w:eastAsia="" w:cs="" w:cstheme="majorBidi" w:eastAsiaTheme="majorEastAsia"/>
      <w:color w:themeColor="accent1" w:themeShade="bf" w:val="2F5496"/>
      <w:sz w:val="28"/>
      <w:szCs w:val="28"/>
    </w:rPr>
  </w:style>
  <w:style w:type="character" w:styleId="4" w:customStyle="1">
    <w:name w:val="Заголовок 4 Знак"/>
    <w:basedOn w:val="DefaultParagraphFont"/>
    <w:uiPriority w:val="9"/>
    <w:semiHidden/>
    <w:qFormat/>
    <w:rsid w:val="00772d45"/>
    <w:rPr>
      <w:rFonts w:eastAsia="" w:cs="" w:cstheme="majorBidi" w:eastAsiaTheme="majorEastAsia"/>
      <w:i/>
      <w:iCs/>
      <w:color w:themeColor="accent1" w:themeShade="bf" w:val="2F5496"/>
    </w:rPr>
  </w:style>
  <w:style w:type="character" w:styleId="5" w:customStyle="1">
    <w:name w:val="Заголовок 5 Знак"/>
    <w:basedOn w:val="DefaultParagraphFont"/>
    <w:uiPriority w:val="9"/>
    <w:semiHidden/>
    <w:qFormat/>
    <w:rsid w:val="00772d45"/>
    <w:rPr>
      <w:rFonts w:eastAsia="" w:cs="" w:cstheme="majorBidi" w:eastAsiaTheme="majorEastAsia"/>
      <w:color w:themeColor="accent1" w:themeShade="bf" w:val="2F5496"/>
    </w:rPr>
  </w:style>
  <w:style w:type="character" w:styleId="6" w:customStyle="1">
    <w:name w:val="Заголовок 6 Знак"/>
    <w:basedOn w:val="DefaultParagraphFont"/>
    <w:uiPriority w:val="9"/>
    <w:semiHidden/>
    <w:qFormat/>
    <w:rsid w:val="00772d45"/>
    <w:rPr>
      <w:rFonts w:eastAsia="" w:cs="" w:cstheme="majorBidi" w:eastAsiaTheme="majorEastAsia"/>
      <w:i/>
      <w:iCs/>
      <w:color w:themeColor="text1" w:themeTint="a6" w:val="595959"/>
    </w:rPr>
  </w:style>
  <w:style w:type="character" w:styleId="7" w:customStyle="1">
    <w:name w:val="Заголовок 7 Знак"/>
    <w:basedOn w:val="DefaultParagraphFont"/>
    <w:uiPriority w:val="9"/>
    <w:semiHidden/>
    <w:qFormat/>
    <w:rsid w:val="00772d45"/>
    <w:rPr>
      <w:rFonts w:eastAsia="" w:cs="" w:cstheme="majorBidi" w:eastAsiaTheme="majorEastAsia"/>
      <w:color w:themeColor="text1" w:themeTint="a6" w:val="595959"/>
    </w:rPr>
  </w:style>
  <w:style w:type="character" w:styleId="8" w:customStyle="1">
    <w:name w:val="Заголовок 8 Знак"/>
    <w:basedOn w:val="DefaultParagraphFont"/>
    <w:uiPriority w:val="9"/>
    <w:semiHidden/>
    <w:qFormat/>
    <w:rsid w:val="00772d45"/>
    <w:rPr>
      <w:rFonts w:eastAsia="" w:cs="" w:cstheme="majorBidi" w:eastAsiaTheme="majorEastAsia"/>
      <w:i/>
      <w:iCs/>
      <w:color w:themeColor="text1" w:themeTint="d8" w:val="272727"/>
    </w:rPr>
  </w:style>
  <w:style w:type="character" w:styleId="9" w:customStyle="1">
    <w:name w:val="Заголовок 9 Знак"/>
    <w:basedOn w:val="DefaultParagraphFont"/>
    <w:uiPriority w:val="9"/>
    <w:semiHidden/>
    <w:qFormat/>
    <w:rsid w:val="00772d45"/>
    <w:rPr>
      <w:rFonts w:eastAsia="" w:cs="" w:cstheme="majorBidi" w:eastAsiaTheme="majorEastAsia"/>
      <w:color w:themeColor="text1" w:themeTint="d8" w:val="272727"/>
    </w:rPr>
  </w:style>
  <w:style w:type="character" w:styleId="Style5" w:customStyle="1">
    <w:name w:val="Заголовок Знак"/>
    <w:basedOn w:val="DefaultParagraphFont"/>
    <w:uiPriority w:val="10"/>
    <w:qFormat/>
    <w:rsid w:val="00772d45"/>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772d45"/>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772d45"/>
    <w:rPr>
      <w:i/>
      <w:iCs/>
      <w:color w:themeColor="text1" w:themeTint="bf" w:val="404040"/>
    </w:rPr>
  </w:style>
  <w:style w:type="character" w:styleId="IntenseEmphasis">
    <w:name w:val="Intense Emphasis"/>
    <w:basedOn w:val="DefaultParagraphFont"/>
    <w:uiPriority w:val="21"/>
    <w:qFormat/>
    <w:rsid w:val="00772d45"/>
    <w:rPr>
      <w:i/>
      <w:iCs/>
      <w:color w:themeColor="accent1" w:themeShade="bf" w:val="2F5496"/>
    </w:rPr>
  </w:style>
  <w:style w:type="character" w:styleId="Style7" w:customStyle="1">
    <w:name w:val="Выделенная цитата Знак"/>
    <w:basedOn w:val="DefaultParagraphFont"/>
    <w:link w:val="IntenseQuote"/>
    <w:uiPriority w:val="30"/>
    <w:qFormat/>
    <w:rsid w:val="00772d45"/>
    <w:rPr>
      <w:i/>
      <w:iCs/>
      <w:color w:themeColor="accent1" w:themeShade="bf" w:val="2F5496"/>
    </w:rPr>
  </w:style>
  <w:style w:type="character" w:styleId="IntenseReference">
    <w:name w:val="Intense Reference"/>
    <w:basedOn w:val="DefaultParagraphFont"/>
    <w:uiPriority w:val="32"/>
    <w:qFormat/>
    <w:rsid w:val="00772d45"/>
    <w:rPr>
      <w:b/>
      <w:bCs/>
      <w:smallCaps/>
      <w:color w:themeColor="accent1" w:themeShade="bf" w:val="2F5496"/>
      <w:spacing w:val="5"/>
    </w:rPr>
  </w:style>
  <w:style w:type="character" w:styleId="Hyperlink">
    <w:name w:val="Hyperlink"/>
    <w:basedOn w:val="DefaultParagraphFont"/>
    <w:uiPriority w:val="99"/>
    <w:unhideWhenUsed/>
    <w:rsid w:val="00a900e3"/>
    <w:rPr>
      <w:color w:themeColor="hyperlink" w:val="0563C1"/>
      <w:u w:val="single"/>
    </w:rPr>
  </w:style>
  <w:style w:type="character" w:styleId="11" w:customStyle="1">
    <w:name w:val="Неразрешенное упоминание1"/>
    <w:basedOn w:val="DefaultParagraphFont"/>
    <w:uiPriority w:val="99"/>
    <w:semiHidden/>
    <w:unhideWhenUsed/>
    <w:qFormat/>
    <w:rsid w:val="00a900e3"/>
    <w:rPr>
      <w:color w:val="605E5C"/>
      <w:shd w:fill="E1DFDD" w:val="clear"/>
    </w:rPr>
  </w:style>
  <w:style w:type="character" w:styleId="Style8" w:customStyle="1">
    <w:name w:val="Символ нумерации"/>
    <w:qFormat/>
    <w:rPr/>
  </w:style>
  <w:style w:type="character" w:styleId="22" w:customStyle="1">
    <w:name w:val="Неразрешенное упоминание2"/>
    <w:basedOn w:val="DefaultParagraphFont"/>
    <w:uiPriority w:val="99"/>
    <w:semiHidden/>
    <w:unhideWhenUsed/>
    <w:qFormat/>
    <w:rsid w:val="00ff202c"/>
    <w:rPr>
      <w:color w:val="605E5C"/>
      <w:shd w:fill="E1DFDD" w:val="clear"/>
    </w:rPr>
  </w:style>
  <w:style w:type="character" w:styleId="FollowedHyperlink">
    <w:name w:val="FollowedHyperlink"/>
    <w:basedOn w:val="DefaultParagraphFont"/>
    <w:uiPriority w:val="99"/>
    <w:semiHidden/>
    <w:unhideWhenUsed/>
    <w:rsid w:val="00c27cee"/>
    <w:rPr>
      <w:color w:themeColor="followedHyperlink" w:val="954F72"/>
      <w:u w:val="single"/>
    </w:rPr>
  </w:style>
  <w:style w:type="character" w:styleId="UnresolvedMention">
    <w:name w:val="Unresolved Mention"/>
    <w:basedOn w:val="DefaultParagraphFont"/>
    <w:uiPriority w:val="99"/>
    <w:semiHidden/>
    <w:unhideWhenUsed/>
    <w:qFormat/>
    <w:rsid w:val="00d17a06"/>
    <w:rPr>
      <w:color w:val="605E5C"/>
      <w:shd w:fill="E1DFDD" w:val="clear"/>
    </w:rPr>
  </w:style>
  <w:style w:type="character" w:styleId="NumberingSymbols">
    <w:name w:val="Numbering Symbols"/>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Index">
    <w:name w:val="Index"/>
    <w:basedOn w:val="Normal"/>
    <w:qFormat/>
    <w:pPr>
      <w:suppressLineNumbers/>
    </w:pPr>
    <w:rPr/>
  </w:style>
  <w:style w:type="paragraph" w:styleId="Style9">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Style10">
    <w:name w:val="Указатель"/>
    <w:basedOn w:val="Normal"/>
    <w:qFormat/>
    <w:pPr>
      <w:suppressLineNumbers/>
    </w:pPr>
    <w:rPr>
      <w:rFonts w:cs="Droid Sans"/>
    </w:rPr>
  </w:style>
  <w:style w:type="paragraph" w:styleId="Title">
    <w:name w:val="Title"/>
    <w:basedOn w:val="Normal"/>
    <w:next w:val="BodyText"/>
    <w:link w:val="Style5"/>
    <w:uiPriority w:val="10"/>
    <w:qFormat/>
    <w:rsid w:val="00772d45"/>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IndexHeading">
    <w:name w:val="index heading"/>
    <w:basedOn w:val="Normal"/>
    <w:qFormat/>
    <w:pPr>
      <w:suppressLineNumbers/>
    </w:pPr>
    <w:rPr>
      <w:rFonts w:cs="Droid Sans"/>
    </w:rPr>
  </w:style>
  <w:style w:type="paragraph" w:styleId="12" w:customStyle="1">
    <w:name w:val="Заголовок1"/>
    <w:basedOn w:val="Normal"/>
    <w:next w:val="BodyText"/>
    <w:qFormat/>
    <w:pPr>
      <w:keepNext w:val="true"/>
      <w:spacing w:before="240" w:after="120"/>
    </w:pPr>
    <w:rPr>
      <w:rFonts w:ascii="Open Sans" w:hAnsi="Open Sans" w:eastAsia="DejaVu Sans" w:cs="Droid Sans"/>
      <w:sz w:val="28"/>
      <w:szCs w:val="28"/>
    </w:rPr>
  </w:style>
  <w:style w:type="paragraph" w:styleId="Subtitle">
    <w:name w:val="Subtitle"/>
    <w:basedOn w:val="Normal"/>
    <w:next w:val="Normal"/>
    <w:link w:val="Style6"/>
    <w:uiPriority w:val="11"/>
    <w:qFormat/>
    <w:rsid w:val="00772d45"/>
    <w:pPr/>
    <w:rPr>
      <w:rFonts w:eastAsia="" w:cs="" w:cstheme="majorBidi" w:eastAsiaTheme="majorEastAsia"/>
      <w:color w:themeColor="text1" w:themeTint="a6" w:val="595959"/>
      <w:spacing w:val="15"/>
      <w:sz w:val="28"/>
      <w:szCs w:val="28"/>
    </w:rPr>
  </w:style>
  <w:style w:type="paragraph" w:styleId="Quote">
    <w:name w:val="Quote"/>
    <w:basedOn w:val="Normal"/>
    <w:next w:val="Normal"/>
    <w:link w:val="21"/>
    <w:uiPriority w:val="29"/>
    <w:qFormat/>
    <w:rsid w:val="00772d45"/>
    <w:pPr>
      <w:spacing w:before="160" w:after="160"/>
      <w:jc w:val="center"/>
    </w:pPr>
    <w:rPr>
      <w:i/>
      <w:iCs/>
      <w:color w:themeColor="text1" w:themeTint="bf" w:val="404040"/>
    </w:rPr>
  </w:style>
  <w:style w:type="paragraph" w:styleId="ListParagraph">
    <w:name w:val="List Paragraph"/>
    <w:basedOn w:val="Normal"/>
    <w:uiPriority w:val="34"/>
    <w:qFormat/>
    <w:rsid w:val="00772d45"/>
    <w:pPr>
      <w:spacing w:before="0" w:after="160"/>
      <w:ind w:left="720"/>
      <w:contextualSpacing/>
    </w:pPr>
    <w:rPr/>
  </w:style>
  <w:style w:type="paragraph" w:styleId="IntenseQuote">
    <w:name w:val="Intense Quote"/>
    <w:basedOn w:val="Normal"/>
    <w:next w:val="Normal"/>
    <w:link w:val="Style7"/>
    <w:uiPriority w:val="30"/>
    <w:qFormat/>
    <w:rsid w:val="00772d45"/>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HeaderandFooter" w:customStyle="1">
    <w:name w:val="Header and Footer"/>
    <w:basedOn w:val="Normal"/>
    <w:qFormat/>
    <w:pPr>
      <w:suppressLineNumbers/>
      <w:tabs>
        <w:tab w:val="clear" w:pos="708"/>
        <w:tab w:val="center" w:pos="4677" w:leader="none"/>
        <w:tab w:val="right" w:pos="9355" w:leader="none"/>
      </w:tabs>
    </w:pPr>
    <w:rPr/>
  </w:style>
  <w:style w:type="paragraph" w:styleId="Footer">
    <w:name w:val="footer"/>
    <w:basedOn w:val="HeaderandFooter"/>
    <w:pPr/>
    <w:rPr/>
  </w:style>
  <w:style w:type="paragraph" w:styleId="Default" w:customStyle="1">
    <w:name w:val="Default"/>
    <w:qFormat/>
    <w:rsid w:val="006c1860"/>
    <w:pPr>
      <w:widowControl/>
      <w:suppressAutoHyphens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11" w:customStyle="1">
    <w:name w:val="Содержимое таблицы"/>
    <w:basedOn w:val="Normal"/>
    <w:qFormat/>
    <w:pPr>
      <w:widowControl w:val="false"/>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Style12" w:customStyle="1">
    <w:name w:val="Без списка"/>
    <w:uiPriority w:val="99"/>
    <w:semiHidden/>
    <w:unhideWhenUsed/>
    <w:qFormat/>
  </w:style>
  <w:style w:type="numbering" w:styleId="Bullet">
    <w:name w:val="Bullet •"/>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39"/>
    <w:rsid w:val="00664b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scatterChart>
        <c:scatterStyle val="lineMarker"/>
        <c:varyColors val="0"/>
        <c:ser>
          <c:idx val="0"/>
          <c:order val="0"/>
          <c:tx>
            <c:strRef>
              <c:f>label 0</c:f>
              <c:strCache>
                <c:ptCount val="1"/>
                <c:pt idx="0">
                  <c:v>Военное дело</c:v>
                </c:pt>
              </c:strCache>
            </c:strRef>
          </c:tx>
          <c:spPr>
            <a:solidFill>
              <a:srgbClr val="ff420e"/>
            </a:solidFill>
            <a:ln w="28800">
              <a:solidFill>
                <a:srgbClr val="ff420e"/>
              </a:solidFill>
              <a:round/>
            </a:ln>
          </c:spPr>
          <c:marker>
            <c:symbol val="diamond"/>
            <c:size val="8"/>
            <c:spPr>
              <a:solidFill>
                <a:srgbClr val="ff420e"/>
              </a:solidFill>
            </c:spPr>
          </c:marker>
          <c:dLbls>
            <c:txPr>
              <a:bodyPr wrap="none"/>
              <a:lstStyle/>
              <a:p>
                <a:pPr>
                  <a:defRPr b="0" sz="1000" strike="noStrike" u="none">
                    <a:solidFill>
                      <a:srgbClr val="000000"/>
                    </a:solidFill>
                    <a:uFillTx/>
                    <a:latin typeface="Open Sans"/>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xVal>
            <c:numRef>
              <c:f>1</c:f>
              <c:numCache>
                <c:formatCode>General</c:formatCode>
                <c:ptCount val="4"/>
                <c:pt idx="0">
                  <c:v>1764</c:v>
                </c:pt>
                <c:pt idx="1">
                  <c:v>1878</c:v>
                </c:pt>
                <c:pt idx="2">
                  <c:v>1923</c:v>
                </c:pt>
                <c:pt idx="3">
                  <c:v>2022</c:v>
                </c:pt>
              </c:numCache>
            </c:numRef>
          </c:xVal>
          <c:yVal>
            <c:numRef>
              <c:f>0</c:f>
              <c:numCache>
                <c:formatCode>General</c:formatCode>
                <c:ptCount val="4"/>
                <c:pt idx="0">
                  <c:v>37</c:v>
                </c:pt>
                <c:pt idx="1">
                  <c:v>871</c:v>
                </c:pt>
                <c:pt idx="2">
                  <c:v>498</c:v>
                </c:pt>
                <c:pt idx="3">
                  <c:v>962</c:v>
                </c:pt>
              </c:numCache>
            </c:numRef>
          </c:yVal>
          <c:smooth val="0"/>
        </c:ser>
        <c:ser>
          <c:idx val="1"/>
          <c:order val="1"/>
          <c:tx>
            <c:strRef>
              <c:f>label 2</c:f>
              <c:strCache>
                <c:ptCount val="1"/>
                <c:pt idx="0">
                  <c:v>Астрономия</c:v>
                </c:pt>
              </c:strCache>
            </c:strRef>
          </c:tx>
          <c:spPr>
            <a:solidFill>
              <a:srgbClr val="004586"/>
            </a:solidFill>
            <a:ln w="28800">
              <a:solidFill>
                <a:srgbClr val="004586"/>
              </a:solidFill>
              <a:round/>
            </a:ln>
          </c:spPr>
          <c:marker>
            <c:symbol val="square"/>
            <c:size val="8"/>
            <c:spPr>
              <a:solidFill>
                <a:srgbClr val="004586"/>
              </a:solidFill>
            </c:spPr>
          </c:marker>
          <c:dLbls>
            <c:txPr>
              <a:bodyPr wrap="none"/>
              <a:lstStyle/>
              <a:p>
                <a:pPr>
                  <a:defRPr b="0" sz="1000" strike="noStrike" u="none">
                    <a:solidFill>
                      <a:srgbClr val="000000"/>
                    </a:solidFill>
                    <a:uFillTx/>
                    <a:latin typeface="Open Sans"/>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xVal>
            <c:numRef>
              <c:f>3</c:f>
              <c:numCache>
                <c:formatCode>General</c:formatCode>
                <c:ptCount val="4"/>
                <c:pt idx="0">
                  <c:v>1764</c:v>
                </c:pt>
                <c:pt idx="1">
                  <c:v>1878</c:v>
                </c:pt>
                <c:pt idx="2">
                  <c:v>1923</c:v>
                </c:pt>
                <c:pt idx="3">
                  <c:v>2022</c:v>
                </c:pt>
              </c:numCache>
            </c:numRef>
          </c:xVal>
          <c:yVal>
            <c:numRef>
              <c:f>2</c:f>
              <c:numCache>
                <c:formatCode>General</c:formatCode>
                <c:ptCount val="4"/>
                <c:pt idx="1">
                  <c:v>17</c:v>
                </c:pt>
                <c:pt idx="2">
                  <c:v>15</c:v>
                </c:pt>
                <c:pt idx="3">
                  <c:v>593</c:v>
                </c:pt>
              </c:numCache>
            </c:numRef>
          </c:yVal>
          <c:smooth val="0"/>
        </c:ser>
        <c:ser>
          <c:idx val="2"/>
          <c:order val="2"/>
          <c:tx>
            <c:strRef>
              <c:f>label 4</c:f>
              <c:strCache>
                <c:ptCount val="1"/>
                <c:pt idx="0">
                  <c:v>Биология</c:v>
                </c:pt>
              </c:strCache>
            </c:strRef>
          </c:tx>
          <c:spPr>
            <a:solidFill>
              <a:srgbClr val="83caff"/>
            </a:solidFill>
            <a:ln w="28800">
              <a:solidFill>
                <a:srgbClr val="83caff"/>
              </a:solidFill>
              <a:round/>
            </a:ln>
          </c:spPr>
          <c:marker>
            <c:symbol val="triangle"/>
            <c:size val="8"/>
            <c:spPr>
              <a:solidFill>
                <a:srgbClr val="83caff"/>
              </a:solidFill>
            </c:spPr>
          </c:marker>
          <c:dLbls>
            <c:txPr>
              <a:bodyPr wrap="none"/>
              <a:lstStyle/>
              <a:p>
                <a:pPr>
                  <a:defRPr b="0" sz="1000" strike="noStrike" u="none">
                    <a:solidFill>
                      <a:srgbClr val="000000"/>
                    </a:solidFill>
                    <a:uFillTx/>
                    <a:latin typeface="Open Sans"/>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xVal>
            <c:numRef>
              <c:f>5</c:f>
              <c:numCache>
                <c:formatCode>General</c:formatCode>
                <c:ptCount val="4"/>
                <c:pt idx="0">
                  <c:v>1764</c:v>
                </c:pt>
                <c:pt idx="1">
                  <c:v>1878</c:v>
                </c:pt>
                <c:pt idx="2">
                  <c:v>1923</c:v>
                </c:pt>
                <c:pt idx="3">
                  <c:v>2022</c:v>
                </c:pt>
              </c:numCache>
            </c:numRef>
          </c:xVal>
          <c:yVal>
            <c:numRef>
              <c:f>4</c:f>
              <c:numCache>
                <c:formatCode>General</c:formatCode>
                <c:ptCount val="4"/>
                <c:pt idx="2">
                  <c:v>73</c:v>
                </c:pt>
                <c:pt idx="3">
                  <c:v>899</c:v>
                </c:pt>
              </c:numCache>
            </c:numRef>
          </c:yVal>
          <c:smooth val="0"/>
        </c:ser>
        <c:ser>
          <c:idx val="3"/>
          <c:order val="3"/>
          <c:tx>
            <c:strRef>
              <c:f>label 6</c:f>
              <c:strCache>
                <c:ptCount val="1"/>
                <c:pt idx="0">
                  <c:v>Физика</c:v>
                </c:pt>
              </c:strCache>
            </c:strRef>
          </c:tx>
          <c:spPr>
            <a:solidFill>
              <a:srgbClr val="7e0021"/>
            </a:solidFill>
            <a:ln w="28800">
              <a:solidFill>
                <a:srgbClr val="7e0021"/>
              </a:solidFill>
              <a:round/>
            </a:ln>
          </c:spPr>
          <c:marker>
            <c:symbol val="triangle"/>
            <c:size val="8"/>
            <c:spPr>
              <a:solidFill>
                <a:srgbClr val="7e0021"/>
              </a:solidFill>
            </c:spPr>
          </c:marker>
          <c:dLbls>
            <c:txPr>
              <a:bodyPr wrap="none"/>
              <a:lstStyle/>
              <a:p>
                <a:pPr>
                  <a:defRPr b="0" sz="1000" strike="noStrike" u="none">
                    <a:solidFill>
                      <a:srgbClr val="000000"/>
                    </a:solidFill>
                    <a:uFillTx/>
                    <a:latin typeface="Open Sans"/>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xVal>
            <c:numRef>
              <c:f>7</c:f>
              <c:numCache>
                <c:formatCode>General</c:formatCode>
                <c:ptCount val="4"/>
                <c:pt idx="0">
                  <c:v>1764</c:v>
                </c:pt>
                <c:pt idx="1">
                  <c:v>1878</c:v>
                </c:pt>
                <c:pt idx="2">
                  <c:v>1923</c:v>
                </c:pt>
                <c:pt idx="3">
                  <c:v>2022</c:v>
                </c:pt>
              </c:numCache>
            </c:numRef>
          </c:xVal>
          <c:yVal>
            <c:numRef>
              <c:f>6</c:f>
              <c:numCache>
                <c:formatCode>General</c:formatCode>
                <c:ptCount val="4"/>
                <c:pt idx="3">
                  <c:v>1899</c:v>
                </c:pt>
              </c:numCache>
            </c:numRef>
          </c:yVal>
          <c:smooth val="0"/>
        </c:ser>
        <c:ser>
          <c:idx val="4"/>
          <c:order val="4"/>
          <c:tx>
            <c:strRef>
              <c:f>label 8</c:f>
              <c:strCache>
                <c:ptCount val="1"/>
                <c:pt idx="0">
                  <c:v>Иные науки</c:v>
                </c:pt>
              </c:strCache>
            </c:strRef>
          </c:tx>
          <c:spPr>
            <a:solidFill>
              <a:srgbClr val="579d1c"/>
            </a:solidFill>
            <a:ln w="28800">
              <a:solidFill>
                <a:srgbClr val="579d1c"/>
              </a:solidFill>
              <a:round/>
            </a:ln>
          </c:spPr>
          <c:marker>
            <c:symbol val="triangle"/>
            <c:size val="8"/>
            <c:spPr>
              <a:solidFill>
                <a:srgbClr val="579d1c"/>
              </a:solidFill>
            </c:spPr>
          </c:marker>
          <c:dLbls>
            <c:txPr>
              <a:bodyPr wrap="none"/>
              <a:lstStyle/>
              <a:p>
                <a:pPr>
                  <a:defRPr b="0" sz="1000" strike="noStrike" u="none">
                    <a:solidFill>
                      <a:srgbClr val="000000"/>
                    </a:solidFill>
                    <a:uFillTx/>
                    <a:latin typeface="Open Sans"/>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xVal>
            <c:numRef>
              <c:f>9</c:f>
              <c:numCache>
                <c:formatCode>General</c:formatCode>
                <c:ptCount val="4"/>
                <c:pt idx="0">
                  <c:v>1764</c:v>
                </c:pt>
                <c:pt idx="1">
                  <c:v>1878</c:v>
                </c:pt>
                <c:pt idx="2">
                  <c:v>1923</c:v>
                </c:pt>
                <c:pt idx="3">
                  <c:v>2022</c:v>
                </c:pt>
              </c:numCache>
            </c:numRef>
          </c:xVal>
          <c:yVal>
            <c:numRef>
              <c:f>8</c:f>
              <c:numCache>
                <c:formatCode>General</c:formatCode>
                <c:ptCount val="4"/>
                <c:pt idx="0">
                  <c:v>1</c:v>
                </c:pt>
                <c:pt idx="1">
                  <c:v>16</c:v>
                </c:pt>
                <c:pt idx="2">
                  <c:v>129</c:v>
                </c:pt>
                <c:pt idx="3">
                  <c:v>1042</c:v>
                </c:pt>
              </c:numCache>
            </c:numRef>
          </c:yVal>
          <c:smooth val="0"/>
        </c:ser>
        <c:ser>
          <c:idx val="5"/>
          <c:order val="5"/>
          <c:tx>
            <c:strRef>
              <c:f>label 10</c:f>
              <c:strCache>
                <c:ptCount val="1"/>
                <c:pt idx="0">
                  <c:v>Обиходные</c:v>
                </c:pt>
              </c:strCache>
            </c:strRef>
          </c:tx>
          <c:spPr>
            <a:solidFill>
              <a:srgbClr val="ffd320"/>
            </a:solidFill>
            <a:ln w="28800">
              <a:solidFill>
                <a:srgbClr val="ffd320"/>
              </a:solidFill>
              <a:round/>
            </a:ln>
          </c:spPr>
          <c:marker>
            <c:symbol val="triangle"/>
            <c:size val="8"/>
            <c:spPr>
              <a:solidFill>
                <a:srgbClr val="ffd320"/>
              </a:solidFill>
            </c:spPr>
          </c:marker>
          <c:dLbls>
            <c:txPr>
              <a:bodyPr wrap="none"/>
              <a:lstStyle/>
              <a:p>
                <a:pPr>
                  <a:defRPr b="0" sz="1000" strike="noStrike" u="none">
                    <a:solidFill>
                      <a:srgbClr val="000000"/>
                    </a:solidFill>
                    <a:uFillTx/>
                    <a:latin typeface="Open Sans"/>
                  </a:defRPr>
                </a:pPr>
              </a:p>
            </c:txPr>
            <c:dLblPos val="r"/>
            <c:showLegendKey val="0"/>
            <c:showVal val="0"/>
            <c:showCatName val="0"/>
            <c:showSerName val="0"/>
            <c:showPercent val="0"/>
            <c:separator> </c:separator>
            <c:showLeaderLines val="1"/>
            <c:leaderLines>
              <c:spPr>
                <a:ln w="28800">
                  <a:solidFill>
                    <a:srgbClr val="000000"/>
                  </a:solidFill>
                </a:ln>
              </c:spPr>
            </c:leaderLines>
            <c:extLst>
              <c:ext xmlns:c15="http://schemas.microsoft.com/office/drawing/2012/chart" uri="{CE6537A1-D6FC-4f65-9D91-7224C49458BB}">
                <c15:showLeaderLines val="1"/>
              </c:ext>
            </c:extLst>
          </c:dLbls>
          <c:xVal>
            <c:numRef>
              <c:f>11</c:f>
              <c:numCache>
                <c:formatCode>General</c:formatCode>
                <c:ptCount val="4"/>
                <c:pt idx="0">
                  <c:v>1764</c:v>
                </c:pt>
                <c:pt idx="1">
                  <c:v>1878</c:v>
                </c:pt>
                <c:pt idx="2">
                  <c:v>1923</c:v>
                </c:pt>
                <c:pt idx="3">
                  <c:v>2022</c:v>
                </c:pt>
              </c:numCache>
            </c:numRef>
          </c:xVal>
          <c:yVal>
            <c:numRef>
              <c:f>10</c:f>
              <c:numCache>
                <c:formatCode>General</c:formatCode>
                <c:ptCount val="4"/>
                <c:pt idx="0">
                  <c:v>3</c:v>
                </c:pt>
                <c:pt idx="1">
                  <c:v>207</c:v>
                </c:pt>
                <c:pt idx="2">
                  <c:v>295</c:v>
                </c:pt>
                <c:pt idx="3">
                  <c:v>2036</c:v>
                </c:pt>
              </c:numCache>
            </c:numRef>
          </c:yVal>
          <c:smooth val="0"/>
        </c:ser>
        <c:axId val="51724991"/>
        <c:axId val="54875163"/>
      </c:scatterChart>
      <c:valAx>
        <c:axId val="51724991"/>
        <c:scaling>
          <c:orientation val="minMax"/>
        </c:scaling>
        <c:delete val="0"/>
        <c:axPos val="b"/>
        <c:numFmt formatCode="General" sourceLinked="0"/>
        <c:majorTickMark val="out"/>
        <c:minorTickMark val="none"/>
        <c:tickLblPos val="nextTo"/>
        <c:spPr>
          <a:ln w="0">
            <a:solidFill>
              <a:srgbClr val="b3b3b3"/>
            </a:solidFill>
          </a:ln>
        </c:spPr>
        <c:txPr>
          <a:bodyPr/>
          <a:lstStyle/>
          <a:p>
            <a:pPr>
              <a:defRPr b="0" sz="1000" strike="noStrike" u="none">
                <a:solidFill>
                  <a:srgbClr val="000000"/>
                </a:solidFill>
                <a:uFillTx/>
                <a:latin typeface="Open Sans"/>
              </a:defRPr>
            </a:pPr>
          </a:p>
        </c:txPr>
        <c:crossAx val="54875163"/>
        <c:crosses val="autoZero"/>
        <c:crossBetween val="midCat"/>
      </c:valAx>
      <c:valAx>
        <c:axId val="54875163"/>
        <c:scaling>
          <c:orientation val="minMax"/>
        </c:scaling>
        <c:delete val="0"/>
        <c:axPos val="l"/>
        <c:majorGridlines>
          <c:spPr>
            <a:ln w="0">
              <a:solidFill>
                <a:srgbClr val="b3b3b3"/>
              </a:solidFill>
            </a:ln>
          </c:spPr>
        </c:majorGridlines>
        <c:numFmt formatCode="#,###.00" sourceLinked="0"/>
        <c:majorTickMark val="out"/>
        <c:minorTickMark val="none"/>
        <c:tickLblPos val="nextTo"/>
        <c:spPr>
          <a:ln w="0">
            <a:solidFill>
              <a:srgbClr val="b3b3b3"/>
            </a:solidFill>
          </a:ln>
        </c:spPr>
        <c:txPr>
          <a:bodyPr/>
          <a:lstStyle/>
          <a:p>
            <a:pPr>
              <a:defRPr b="0" sz="1000" strike="noStrike" u="none">
                <a:solidFill>
                  <a:srgbClr val="000000"/>
                </a:solidFill>
                <a:uFillTx/>
                <a:latin typeface="Open Sans"/>
              </a:defRPr>
            </a:pPr>
          </a:p>
        </c:txPr>
        <c:crossAx val="51724991"/>
        <c:crosses val="autoZero"/>
        <c:crossBetween val="midCat"/>
      </c:valAx>
      <c:spPr>
        <a:noFill/>
        <a:ln w="0">
          <a:solidFill>
            <a:srgbClr val="b3b3b3"/>
          </a:solidFill>
        </a:ln>
      </c:spPr>
    </c:plotArea>
    <c:legend>
      <c:legendPos val="r"/>
      <c:overlay val="0"/>
      <c:spPr>
        <a:noFill/>
        <a:ln w="0">
          <a:noFill/>
        </a:ln>
      </c:spPr>
      <c:txPr>
        <a:bodyPr/>
        <a:lstStyle/>
        <a:p>
          <a:pPr>
            <a:defRPr b="0" sz="1000" strike="noStrike" u="none">
              <a:solidFill>
                <a:srgbClr val="000000"/>
              </a:solidFill>
              <a:uFillTx/>
              <a:latin typeface="Open Sans"/>
            </a:defRPr>
          </a:pPr>
        </a:p>
      </c:txPr>
    </c:legend>
    <c:plotVisOnly val="1"/>
    <c:dispBlanksAs val="span"/>
  </c:chart>
  <c:spPr>
    <a:noFill/>
    <a:ln w="0">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30"/>
      <c:rotY val="0"/>
      <c:rAngAx val="0"/>
      <c:perspective val="10"/>
    </c:view3D>
    <c:floor>
      <c:spPr>
        <a:solidFill>
          <a:srgbClr val="d9d9d9"/>
        </a:solidFill>
        <a:ln w="0">
          <a:noFill/>
        </a:ln>
      </c:spPr>
    </c:floor>
    <c:sideWall>
      <c:spPr>
        <a:solidFill>
          <a:srgbClr val="d9d9d9"/>
        </a:solidFill>
        <a:ln w="0">
          <a:noFill/>
        </a:ln>
      </c:spPr>
    </c:sideWall>
    <c:backWall>
      <c:spPr>
        <a:solidFill>
          <a:srgbClr val="d9d9d9"/>
        </a:solidFill>
        <a:ln w="0">
          <a:noFill/>
        </a:ln>
      </c:spPr>
    </c:backWall>
    <c:plotArea>
      <c:pie3DChart>
        <c:varyColors val="1"/>
        <c:ser>
          <c:idx val="0"/>
          <c:order val="0"/>
          <c:tx>
            <c:strRef>
              <c:f>label 0</c:f>
              <c:strCache>
                <c:ptCount val="1"/>
                <c:pt idx="0">
                  <c:v>периоды</c:v>
                </c:pt>
              </c:strCache>
            </c:strRef>
          </c:tx>
          <c:spPr>
            <a:solidFill>
              <a:srgbClr val="579d1c"/>
            </a:solidFill>
            <a:ln w="0">
              <a:noFill/>
            </a:ln>
          </c:spPr>
          <c:explosion val="0"/>
          <c:dPt>
            <c:idx val="0"/>
            <c:spPr>
              <a:solidFill>
                <a:srgbClr val="004586"/>
              </a:solidFill>
              <a:ln w="0">
                <a:noFill/>
              </a:ln>
            </c:spPr>
          </c:dPt>
          <c:dPt>
            <c:idx val="1"/>
            <c:spPr>
              <a:solidFill>
                <a:srgbClr val="ff420e"/>
              </a:solidFill>
              <a:ln w="0">
                <a:noFill/>
              </a:ln>
            </c:spPr>
          </c:dPt>
          <c:dPt>
            <c:idx val="2"/>
            <c:spPr>
              <a:solidFill>
                <a:srgbClr val="ffd320"/>
              </a:solidFill>
              <a:ln w="0">
                <a:noFill/>
              </a:ln>
            </c:spPr>
          </c:dPt>
          <c:dPt>
            <c:idx val="3"/>
            <c:spPr>
              <a:solidFill>
                <a:srgbClr val="579d1c"/>
              </a:solidFill>
              <a:ln w="0">
                <a:noFill/>
              </a:ln>
            </c:spPr>
          </c:dPt>
          <c:dLbls>
            <c:dLbl>
              <c:idx val="0"/>
              <c:txPr>
                <a:bodyPr wrap="none"/>
                <a:lstStyle/>
                <a:p>
                  <a:pPr>
                    <a:defRPr b="0" sz="1000" strike="noStrike" u="none">
                      <a:solidFill>
                        <a:srgbClr val="000000"/>
                      </a:solidFill>
                      <a:uFillTx/>
                      <a:latin typeface="Open Sans"/>
                    </a:defRPr>
                  </a:pPr>
                </a:p>
              </c:txPr>
              <c:dLblPos val="bestFit"/>
              <c:showLegendKey val="0"/>
              <c:showVal val="0"/>
              <c:showCatName val="0"/>
              <c:showSerName val="0"/>
              <c:showPercent val="0"/>
              <c:separator> </c:separator>
            </c:dLbl>
            <c:dLbl>
              <c:idx val="1"/>
              <c:txPr>
                <a:bodyPr wrap="none"/>
                <a:lstStyle/>
                <a:p>
                  <a:pPr>
                    <a:defRPr b="0" sz="1000" strike="noStrike" u="none">
                      <a:solidFill>
                        <a:srgbClr val="000000"/>
                      </a:solidFill>
                      <a:uFillTx/>
                      <a:latin typeface="Open Sans"/>
                    </a:defRPr>
                  </a:pPr>
                </a:p>
              </c:txPr>
              <c:dLblPos val="bestFit"/>
              <c:showLegendKey val="0"/>
              <c:showVal val="0"/>
              <c:showCatName val="0"/>
              <c:showSerName val="0"/>
              <c:showPercent val="0"/>
              <c:separator> </c:separator>
            </c:dLbl>
            <c:dLbl>
              <c:idx val="2"/>
              <c:txPr>
                <a:bodyPr wrap="none"/>
                <a:lstStyle/>
                <a:p>
                  <a:pPr>
                    <a:defRPr b="0" sz="1000" strike="noStrike" u="none">
                      <a:solidFill>
                        <a:srgbClr val="000000"/>
                      </a:solidFill>
                      <a:uFillTx/>
                      <a:latin typeface="Open Sans"/>
                    </a:defRPr>
                  </a:pPr>
                </a:p>
              </c:txPr>
              <c:dLblPos val="bestFit"/>
              <c:showLegendKey val="0"/>
              <c:showVal val="0"/>
              <c:showCatName val="0"/>
              <c:showSerName val="0"/>
              <c:showPercent val="0"/>
              <c:separator> </c:separator>
            </c:dLbl>
            <c:dLbl>
              <c:idx val="3"/>
              <c:txPr>
                <a:bodyPr wrap="none"/>
                <a:lstStyle/>
                <a:p>
                  <a:pPr>
                    <a:defRPr b="0" sz="1000" strike="noStrike" u="none">
                      <a:solidFill>
                        <a:srgbClr val="000000"/>
                      </a:solidFill>
                      <a:uFillTx/>
                      <a:latin typeface="Open Sans"/>
                    </a:defRPr>
                  </a:pPr>
                </a:p>
              </c:txPr>
              <c:dLblPos val="bestFit"/>
              <c:showLegendKey val="0"/>
              <c:showVal val="0"/>
              <c:showCatName val="0"/>
              <c:showSerName val="0"/>
              <c:showPercent val="0"/>
              <c:separator> </c:separator>
            </c:dLbl>
            <c:txPr>
              <a:bodyPr wrap="none"/>
              <a:lstStyle/>
              <a:p>
                <a:pPr>
                  <a:defRPr b="0" sz="1000" strike="noStrike" u="none">
                    <a:solidFill>
                      <a:srgbClr val="000000"/>
                    </a:solidFill>
                    <a:uFillTx/>
                    <a:latin typeface="Open Sans"/>
                  </a:defRPr>
                </a:pPr>
              </a:p>
            </c:txPr>
            <c:dLblPos val="bestFit"/>
            <c:showLegendKey val="0"/>
            <c:showVal val="0"/>
            <c:showCatName val="0"/>
            <c:showSerName val="0"/>
            <c:showPercent val="0"/>
            <c:separator> </c:separator>
            <c:showLeaderLines val="1"/>
          </c:dLbls>
          <c:cat>
            <c:strRef>
              <c:f>categories</c:f>
              <c:strCache>
                <c:ptCount val="4"/>
                <c:pt idx="0">
                  <c:v>до 1764 г.</c:v>
                </c:pt>
                <c:pt idx="1">
                  <c:v>1764-1878 гг.</c:v>
                </c:pt>
                <c:pt idx="2">
                  <c:v>1878-1923 гг.</c:v>
                </c:pt>
                <c:pt idx="3">
                  <c:v>1923-2022 гг.</c:v>
                </c:pt>
              </c:strCache>
            </c:strRef>
          </c:cat>
          <c:val>
            <c:numRef>
              <c:f>0</c:f>
              <c:numCache>
                <c:formatCode>General</c:formatCode>
                <c:ptCount val="4"/>
                <c:pt idx="0">
                  <c:v>1</c:v>
                </c:pt>
                <c:pt idx="1">
                  <c:v>14</c:v>
                </c:pt>
                <c:pt idx="2">
                  <c:v>17</c:v>
                </c:pt>
                <c:pt idx="3">
                  <c:v>147</c:v>
                </c:pt>
              </c:numCache>
            </c:numRef>
          </c:val>
        </c:ser>
      </c:pie3DChart>
    </c:plotArea>
    <c:legend>
      <c:legendPos val="r"/>
      <c:overlay val="0"/>
      <c:spPr>
        <a:noFill/>
        <a:ln w="0">
          <a:noFill/>
        </a:ln>
      </c:spPr>
      <c:txPr>
        <a:bodyPr/>
        <a:lstStyle/>
        <a:p>
          <a:pPr>
            <a:defRPr b="0" sz="1000" strike="noStrike" u="none">
              <a:solidFill>
                <a:srgbClr val="000000"/>
              </a:solidFill>
              <a:uFillTx/>
              <a:latin typeface="Open Sans"/>
            </a:defRPr>
          </a:pPr>
        </a:p>
      </c:txPr>
    </c:legend>
    <c:plotVisOnly val="1"/>
    <c:dispBlanksAs val="zero"/>
  </c:chart>
  <c:spPr>
    <a:noFill/>
    <a:ln w="0">
      <a:noFill/>
    </a:ln>
  </c:spPr>
</c:chartSpace>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LibreOffice/25.2.3.2$Linux_X86_64 LibreOffice_project/520$Build-2</Application>
  <AppVersion>15.0000</AppVersion>
  <Pages>14</Pages>
  <Words>3143</Words>
  <Characters>21407</Characters>
  <CharactersWithSpaces>24393</CharactersWithSpaces>
  <Paragraphs>200</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2026-01-09T19:38:00Z</dcterms:created>
  <dc:creator>Acer</dc:creator>
  <dc:description/>
  <dc:language>ru-RU</dc:language>
  <cp:lastModifiedBy/>
  <dcterms:modified xsi:type="dcterms:W3CDTF">2026-01-10T23:11:43Z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